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4F1" w:rsidRDefault="00E22A5D" w:rsidP="00E22A5D">
      <w:pPr>
        <w:pStyle w:val="DocumentTitle"/>
      </w:pPr>
      <w:r>
        <w:t>Astraea System Architecture Overview</w:t>
      </w:r>
      <w:bookmarkStart w:id="0" w:name="_GoBack"/>
      <w:bookmarkEnd w:id="0"/>
    </w:p>
    <w:p w:rsidR="005C54F1" w:rsidRDefault="00E22A5D">
      <w:pPr>
        <w:pStyle w:val="Heading1"/>
      </w:pPr>
      <w:r>
        <w:t>A</w:t>
      </w:r>
      <w:r>
        <w:t>rchitectural Style</w:t>
      </w:r>
    </w:p>
    <w:p w:rsidR="005C54F1" w:rsidRDefault="00E22A5D">
      <w:r>
        <w:t xml:space="preserve">Astraea uses a 4-layer Clean / N-Layer architecture. The frontend browser communicates with the </w:t>
      </w:r>
      <w:proofErr w:type="spellStart"/>
      <w:r>
        <w:t>Astraea.Web</w:t>
      </w:r>
      <w:proofErr w:type="spellEnd"/>
      <w:r>
        <w:t xml:space="preserve"> presentation layer, which depends on </w:t>
      </w:r>
      <w:proofErr w:type="spellStart"/>
      <w:r>
        <w:t>Astraea.Application</w:t>
      </w:r>
      <w:proofErr w:type="spellEnd"/>
      <w:r>
        <w:t xml:space="preserve"> contracts and delegates persistence, integration, and background work to </w:t>
      </w:r>
      <w:proofErr w:type="spellStart"/>
      <w:r>
        <w:t>Astraea.Infrastruc</w:t>
      </w:r>
      <w:r>
        <w:t>ture</w:t>
      </w:r>
      <w:proofErr w:type="spellEnd"/>
      <w:r>
        <w:t xml:space="preserve">. </w:t>
      </w:r>
      <w:proofErr w:type="spellStart"/>
      <w:r>
        <w:t>Astraea.Domain</w:t>
      </w:r>
      <w:proofErr w:type="spellEnd"/>
      <w:r>
        <w:t xml:space="preserve"> remains the pure domain model layer.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56"/>
        <w:gridCol w:w="3335"/>
        <w:gridCol w:w="3669"/>
      </w:tblGrid>
      <w:tr w:rsidR="005C54F1">
        <w:tc>
          <w:tcPr>
            <w:tcW w:w="1800" w:type="dxa"/>
            <w:shd w:val="clear" w:color="auto" w:fill="F8F9FA"/>
          </w:tcPr>
          <w:p w:rsidR="005C54F1" w:rsidRDefault="00E22A5D">
            <w:r>
              <w:rPr>
                <w:b/>
              </w:rPr>
              <w:t>Layer</w:t>
            </w:r>
          </w:p>
        </w:tc>
        <w:tc>
          <w:tcPr>
            <w:tcW w:w="3600" w:type="dxa"/>
            <w:shd w:val="clear" w:color="auto" w:fill="F8F9FA"/>
          </w:tcPr>
          <w:p w:rsidR="005C54F1" w:rsidRDefault="00E22A5D">
            <w:r>
              <w:rPr>
                <w:b/>
              </w:rPr>
              <w:t>Responsibility</w:t>
            </w:r>
          </w:p>
        </w:tc>
        <w:tc>
          <w:tcPr>
            <w:tcW w:w="3960" w:type="dxa"/>
            <w:shd w:val="clear" w:color="auto" w:fill="F8F9FA"/>
          </w:tcPr>
          <w:p w:rsidR="005C54F1" w:rsidRDefault="00E22A5D">
            <w:r>
              <w:rPr>
                <w:b/>
              </w:rPr>
              <w:t>Key Contents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proofErr w:type="spellStart"/>
            <w:r>
              <w:t>Astraea.Domain</w:t>
            </w:r>
            <w:proofErr w:type="spellEnd"/>
          </w:p>
        </w:tc>
        <w:tc>
          <w:tcPr>
            <w:tcW w:w="3600" w:type="dxa"/>
          </w:tcPr>
          <w:p w:rsidR="005C54F1" w:rsidRDefault="00E22A5D">
            <w:r>
              <w:t>Pure business model layer with no infrastructure dependencies.</w:t>
            </w:r>
          </w:p>
        </w:tc>
        <w:tc>
          <w:tcPr>
            <w:tcW w:w="3960" w:type="dxa"/>
          </w:tcPr>
          <w:p w:rsidR="005C54F1" w:rsidRDefault="00E22A5D">
            <w:r>
              <w:t xml:space="preserve">User, Skill, </w:t>
            </w:r>
            <w:proofErr w:type="spellStart"/>
            <w:r>
              <w:t>MentorLearner</w:t>
            </w:r>
            <w:proofErr w:type="spellEnd"/>
            <w:r>
              <w:t xml:space="preserve">, </w:t>
            </w:r>
            <w:proofErr w:type="spellStart"/>
            <w:r>
              <w:t>StudyLog</w:t>
            </w:r>
            <w:proofErr w:type="spellEnd"/>
            <w:r>
              <w:t xml:space="preserve">, </w:t>
            </w:r>
            <w:proofErr w:type="spellStart"/>
            <w:r>
              <w:t>PracticeSignal</w:t>
            </w:r>
            <w:proofErr w:type="spellEnd"/>
            <w:r>
              <w:t xml:space="preserve">, </w:t>
            </w:r>
            <w:proofErr w:type="spellStart"/>
            <w:r>
              <w:t>GitHubConnection</w:t>
            </w:r>
            <w:proofErr w:type="spellEnd"/>
            <w:r>
              <w:t>, Notification,</w:t>
            </w:r>
            <w:r>
              <w:t xml:space="preserve"> </w:t>
            </w:r>
            <w:proofErr w:type="spellStart"/>
            <w:r>
              <w:t>RefresherContent</w:t>
            </w:r>
            <w:proofErr w:type="spellEnd"/>
            <w:r>
              <w:t xml:space="preserve">, </w:t>
            </w:r>
            <w:proofErr w:type="spellStart"/>
            <w:r>
              <w:t>enums</w:t>
            </w:r>
            <w:proofErr w:type="spellEnd"/>
            <w:r>
              <w:t>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proofErr w:type="spellStart"/>
            <w:r>
              <w:t>Astraea.Application</w:t>
            </w:r>
            <w:proofErr w:type="spellEnd"/>
          </w:p>
        </w:tc>
        <w:tc>
          <w:tcPr>
            <w:tcW w:w="3600" w:type="dxa"/>
          </w:tcPr>
          <w:p w:rsidR="005C54F1" w:rsidRDefault="00E22A5D">
            <w:r>
              <w:t>Use-case contracts and DTO boundaries.</w:t>
            </w:r>
          </w:p>
        </w:tc>
        <w:tc>
          <w:tcPr>
            <w:tcW w:w="3960" w:type="dxa"/>
          </w:tcPr>
          <w:p w:rsidR="005C54F1" w:rsidRDefault="00E22A5D">
            <w:r>
              <w:t>DTOs, service interfaces, repository abstractions, Unit of Work abstraction, retention contracts.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proofErr w:type="spellStart"/>
            <w:r>
              <w:t>Astraea.Infrastructure</w:t>
            </w:r>
            <w:proofErr w:type="spellEnd"/>
          </w:p>
        </w:tc>
        <w:tc>
          <w:tcPr>
            <w:tcW w:w="3600" w:type="dxa"/>
          </w:tcPr>
          <w:p w:rsidR="005C54F1" w:rsidRDefault="00E22A5D">
            <w:r>
              <w:t>Persistence, external services, background jobs, and service implementations.</w:t>
            </w:r>
          </w:p>
        </w:tc>
        <w:tc>
          <w:tcPr>
            <w:tcW w:w="3960" w:type="dxa"/>
          </w:tcPr>
          <w:p w:rsidR="005C54F1" w:rsidRDefault="00E22A5D">
            <w:proofErr w:type="spellStart"/>
            <w:r>
              <w:t>AstraeaDbContext</w:t>
            </w:r>
            <w:proofErr w:type="spellEnd"/>
            <w:r>
              <w:t xml:space="preserve">, </w:t>
            </w:r>
            <w:proofErr w:type="spellStart"/>
            <w:r>
              <w:t>DbInitializer</w:t>
            </w:r>
            <w:proofErr w:type="spellEnd"/>
            <w:r>
              <w:t>, repositories, Unit of Work, GitHub sync, reports, reminders, nightly sync.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proofErr w:type="spellStart"/>
            <w:r>
              <w:t>Astraea.Web</w:t>
            </w:r>
            <w:proofErr w:type="spellEnd"/>
          </w:p>
        </w:tc>
        <w:tc>
          <w:tcPr>
            <w:tcW w:w="3600" w:type="dxa"/>
          </w:tcPr>
          <w:p w:rsidR="005C54F1" w:rsidRDefault="00E22A5D">
            <w:r>
              <w:t>Presentation host and API layer.</w:t>
            </w:r>
          </w:p>
        </w:tc>
        <w:tc>
          <w:tcPr>
            <w:tcW w:w="3960" w:type="dxa"/>
          </w:tcPr>
          <w:p w:rsidR="005C54F1" w:rsidRDefault="00E22A5D">
            <w:r>
              <w:t xml:space="preserve">Controllers, JWT </w:t>
            </w:r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S</w:t>
            </w:r>
            <w:r>
              <w:t>ignalR</w:t>
            </w:r>
            <w:proofErr w:type="spellEnd"/>
            <w:r>
              <w:t xml:space="preserve"> hub, static frontend, CORS, </w:t>
            </w:r>
            <w:proofErr w:type="spellStart"/>
            <w:r>
              <w:t>Serilog</w:t>
            </w:r>
            <w:proofErr w:type="spellEnd"/>
            <w:r>
              <w:t>, app startup.</w:t>
            </w:r>
          </w:p>
        </w:tc>
      </w:tr>
    </w:tbl>
    <w:p w:rsidR="005C54F1" w:rsidRDefault="00E22A5D">
      <w:pPr>
        <w:pStyle w:val="Heading1"/>
      </w:pPr>
      <w:r>
        <w:t>Authentication and Authorization</w:t>
      </w:r>
    </w:p>
    <w:p w:rsidR="005C54F1" w:rsidRDefault="00E22A5D">
      <w:r>
        <w:t>The app uses JWT Bearer authentication. Tokens include identity claims and role claims. The supported roles are Learner, Mentor, Both, and Admin. Role-specific API e</w:t>
      </w:r>
      <w:r>
        <w:t>ndpoints use ASP.NET Core authorization attributes.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C54F1">
        <w:tc>
          <w:tcPr>
            <w:tcW w:w="1800" w:type="dxa"/>
            <w:shd w:val="clear" w:color="auto" w:fill="F8F9FA"/>
          </w:tcPr>
          <w:p w:rsidR="005C54F1" w:rsidRDefault="00E22A5D">
            <w:r>
              <w:rPr>
                <w:b/>
              </w:rPr>
              <w:t>Role</w:t>
            </w:r>
          </w:p>
        </w:tc>
        <w:tc>
          <w:tcPr>
            <w:tcW w:w="7560" w:type="dxa"/>
            <w:shd w:val="clear" w:color="auto" w:fill="F8F9FA"/>
          </w:tcPr>
          <w:p w:rsidR="005C54F1" w:rsidRDefault="00E22A5D">
            <w:r>
              <w:rPr>
                <w:b/>
              </w:rPr>
              <w:t>Primary privileges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r>
              <w:t>Learner</w:t>
            </w:r>
          </w:p>
        </w:tc>
        <w:tc>
          <w:tcPr>
            <w:tcW w:w="7560" w:type="dxa"/>
          </w:tcPr>
          <w:p w:rsidR="005C54F1" w:rsidRDefault="00E22A5D">
            <w:r>
              <w:t xml:space="preserve">Manage skills, study logs, reports, GitHub connection, mentor access, </w:t>
            </w:r>
            <w:r>
              <w:lastRenderedPageBreak/>
              <w:t>reminders, and celestial map.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r>
              <w:lastRenderedPageBreak/>
              <w:t>Mentor</w:t>
            </w:r>
          </w:p>
        </w:tc>
        <w:tc>
          <w:tcPr>
            <w:tcW w:w="7560" w:type="dxa"/>
          </w:tcPr>
          <w:p w:rsidR="005C54F1" w:rsidRDefault="00E22A5D">
            <w:r>
              <w:t>Accept/decline invitations, view mentees, open read-only dashboards, and send reminders.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r>
              <w:t>Both</w:t>
            </w:r>
          </w:p>
        </w:tc>
        <w:tc>
          <w:tcPr>
            <w:tcW w:w="7560" w:type="dxa"/>
          </w:tcPr>
          <w:p w:rsidR="005C54F1" w:rsidRDefault="00E22A5D">
            <w:r>
              <w:t>Access both learner workflows and mentor workspace workflows.</w:t>
            </w:r>
          </w:p>
        </w:tc>
      </w:tr>
      <w:tr w:rsidR="005C54F1">
        <w:tc>
          <w:tcPr>
            <w:tcW w:w="1800" w:type="dxa"/>
          </w:tcPr>
          <w:p w:rsidR="005C54F1" w:rsidRDefault="00E22A5D">
            <w:r>
              <w:t>Admin</w:t>
            </w:r>
          </w:p>
        </w:tc>
        <w:tc>
          <w:tcPr>
            <w:tcW w:w="7560" w:type="dxa"/>
          </w:tcPr>
          <w:p w:rsidR="005C54F1" w:rsidRDefault="00E22A5D">
            <w:r>
              <w:t>Represented in role model and token generation for future administrative workflows.</w:t>
            </w:r>
          </w:p>
        </w:tc>
      </w:tr>
    </w:tbl>
    <w:p w:rsidR="005C54F1" w:rsidRDefault="00E22A5D">
      <w:pPr>
        <w:pStyle w:val="Heading1"/>
      </w:pPr>
      <w:r>
        <w:t>Main Workflows</w:t>
      </w:r>
    </w:p>
    <w:p w:rsidR="005C54F1" w:rsidRDefault="00E22A5D">
      <w:r>
        <w:t>Learner skill tracking begins when a learner creates a skill with a constellation category and self-assessment. The system initializes ease factor, current interval, next review date, and canvas coordinates. Skill retention is then calculate</w:t>
      </w:r>
      <w:r>
        <w:t>d from elapsed time and interval length.</w:t>
      </w:r>
    </w:p>
    <w:p w:rsidR="005C54F1" w:rsidRDefault="00E22A5D">
      <w:r>
        <w:t xml:space="preserve">Mentor access begins when a learner invites a mentor by email. Invitations are stored as pending. When accepted, the connection becomes read-only dashboard access. If a learner accepts another learner's invitation, </w:t>
      </w:r>
      <w:r>
        <w:t>the accepting account becomes Both.</w:t>
      </w:r>
    </w:p>
    <w:p w:rsidR="005C54F1" w:rsidRDefault="00E22A5D">
      <w:r>
        <w:t>GitHub integration uses OAuth to prove account ownership. After successful authorization, Astraea stores protected token data and can sync repository activity into practice signals.</w:t>
      </w:r>
    </w:p>
    <w:p w:rsidR="005C54F1" w:rsidRDefault="00E22A5D">
      <w:pPr>
        <w:pStyle w:val="Heading1"/>
      </w:pPr>
      <w:r>
        <w:t>Background Processing and Real-Time Up</w:t>
      </w:r>
      <w:r>
        <w:t>dates</w:t>
      </w:r>
    </w:p>
    <w:p w:rsidR="005C54F1" w:rsidRDefault="00E22A5D">
      <w:proofErr w:type="spellStart"/>
      <w:r>
        <w:t>NightlySyncBackgroundService</w:t>
      </w:r>
      <w:proofErr w:type="spellEnd"/>
      <w:r>
        <w:t xml:space="preserve"> performs scheduled maintenance such as GitHub syncing, retention status checks, and </w:t>
      </w:r>
      <w:proofErr w:type="spellStart"/>
      <w:r>
        <w:t>SignalR</w:t>
      </w:r>
      <w:proofErr w:type="spellEnd"/>
      <w:r>
        <w:t xml:space="preserve"> publishing. </w:t>
      </w:r>
      <w:proofErr w:type="spellStart"/>
      <w:r>
        <w:t>SignalR</w:t>
      </w:r>
      <w:proofErr w:type="spellEnd"/>
      <w:r>
        <w:t xml:space="preserve"> is exposed at /hubs/skill-status for live skill status updates.</w:t>
      </w:r>
    </w:p>
    <w:p w:rsidR="005C54F1" w:rsidRDefault="00E22A5D">
      <w:pPr>
        <w:pStyle w:val="Heading1"/>
      </w:pPr>
      <w:r>
        <w:t>Frontend Architecture</w:t>
      </w:r>
    </w:p>
    <w:p w:rsidR="005C54F1" w:rsidRDefault="00E22A5D">
      <w:r>
        <w:t>The frontend is a singl</w:t>
      </w:r>
      <w:r>
        <w:t xml:space="preserve">e-page experience hosted in </w:t>
      </w:r>
      <w:proofErr w:type="spellStart"/>
      <w:r>
        <w:t>Astraea.Web</w:t>
      </w:r>
      <w:proofErr w:type="spellEnd"/>
      <w:r>
        <w:t>/</w:t>
      </w:r>
      <w:proofErr w:type="spellStart"/>
      <w:r>
        <w:t>wwwroot</w:t>
      </w:r>
      <w:proofErr w:type="spellEnd"/>
      <w:r>
        <w:t>/astraea-platform.html. It uses Tailwind CSS, HTML5 Canvas, JavaScript, Chart-based visualizations, role-aware navigation, and mobile-responsive hamburger navigation.</w:t>
      </w:r>
    </w:p>
    <w:sectPr w:rsidR="005C54F1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C54F1"/>
    <w:rsid w:val="005C54F1"/>
    <w:rsid w:val="00E2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D672"/>
  <w15:docId w15:val="{32A289FE-D108-4333-B2F1-EEF9B42F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hAnsi="Arial"/>
      <w:color w:val="000000"/>
    </w:rPr>
  </w:style>
  <w:style w:type="paragraph" w:styleId="Heading1">
    <w:name w:val="heading 1"/>
    <w:basedOn w:val="Normal"/>
    <w:pPr>
      <w:spacing w:before="400" w:after="120"/>
      <w:outlineLvl w:val="0"/>
    </w:pPr>
    <w:rPr>
      <w:sz w:val="40"/>
    </w:rPr>
  </w:style>
  <w:style w:type="paragraph" w:styleId="Heading2">
    <w:name w:val="heading 2"/>
    <w:basedOn w:val="Normal"/>
    <w:pPr>
      <w:spacing w:before="360" w:after="120"/>
      <w:outlineLvl w:val="1"/>
    </w:pPr>
    <w:rPr>
      <w:sz w:val="32"/>
    </w:rPr>
  </w:style>
  <w:style w:type="paragraph" w:styleId="Heading3">
    <w:name w:val="heading 3"/>
    <w:basedOn w:val="Normal"/>
    <w:pPr>
      <w:spacing w:before="320" w:after="80"/>
      <w:outlineLvl w:val="2"/>
    </w:pPr>
    <w:rPr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pPr>
      <w:spacing w:after="60"/>
    </w:pPr>
    <w:rPr>
      <w:sz w:val="52"/>
    </w:rPr>
  </w:style>
  <w:style w:type="paragraph" w:styleId="Subtitle">
    <w:name w:val="Subtitle"/>
    <w:basedOn w:val="Normal"/>
    <w:pPr>
      <w:spacing w:after="240"/>
    </w:pPr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2026-08-16T10:55:00Z</dcterms:created>
  <dcterms:modified xsi:type="dcterms:W3CDTF">2026-08-16T10:55:00Z</dcterms:modified>
</cp:coreProperties>
</file>