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Bar/Wine Shop Crime Relationship</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 is one of the most pressing concerns facing society today, and the number, type, and severity of crimes committed are dramatically impacted by alcohol. There are three primary ways in which alcohol impacts crime. Being intoxicated in inappropriate circumstances can be a crime, such as drunk in public and driving under the influence (DUI).  Alcohol abuse can increase the likelihood that individuals will commit certain crimes such as assault or homicide either by reducing their inhibitions or judgment or by increasing their agitation and anger. Finally, being the victim of certain types of crimes such as child or sexual abuse makes it considerably more likely that some individuals will develop alcohol abuse disorders later in life.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Alcohol can severely impact an individual’s judgement, response time, actions, and aggression level. As a result, an intoxicated individual can put themselves and others in extreme danger of physical and emotional trauma. To protect everyone, all jurisdictions in the United States make it a crime to be intoxicated under certain circumstances. The most common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alcohol related crimes is important for understanding the full impact of alcohol on individuals and society at large. Criminality may not be the first symptom that people associate with problematic drinking, but it’s a significant symptom nonetheless.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this project we tried to find out the relationship between Bar / Wine shop which is the main source of alcoholic drinks and crime rate in the </w:t>
      </w:r>
      <w:r>
        <w:rPr>
          <w:rFonts w:ascii="Calibri" w:hAnsi="Calibri" w:cs="Calibri" w:eastAsia="Calibri"/>
          <w:b/>
          <w:color w:val="auto"/>
          <w:spacing w:val="0"/>
          <w:position w:val="0"/>
          <w:sz w:val="22"/>
          <w:shd w:fill="auto" w:val="clear"/>
        </w:rPr>
        <w:t xml:space="preserve">San Francisco neighborhoods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