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boys = 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girls = []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boyover =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boynormal =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boyunder =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girlover =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girlnormal =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girlunder =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averageboy =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averagegirl =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80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loop = 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while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loop == 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"y"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gender =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str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"Is it a b or a g?(b for boy, g for girl and s FOR A SUMMARY OF YOUR ENTRIES)"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gender == 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"b"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weight1 =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"How much does the newborn baby weight?"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weight1 &lt;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2.5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boys.append(weight1)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boyunder = boyunder +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elif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weight1 &gt;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4.5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boys.append(weight1)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boyover = boyover +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boys.append(weight1)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boynormal = boynormal +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elif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gender == 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"g"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weight1 =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float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"How much does the newborn baby weight?"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if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weight1 &lt;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2.5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girls.append(weight1)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girlunder = girlunder +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elif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weight1 &gt;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4.5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girls.append(weight1)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girlover = girlover +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girls.append(weight1)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girlnormal = girlnormal +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elif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gender == 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"s"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averageboy =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(boys)/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(boys)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averagegirl =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sum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(girls)/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(girls)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"The average weight of a baby boy is 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(averageboy), 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"kg"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"The average weight of a baby girl is 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(averagegirl), 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"kg"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"Number of baby boys overweight:"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(boyover))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"Number of baby boys underweight:"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(boyunder))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"Number of baby boys normal weight:"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(boynormal))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"Number of baby boys overweight:"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(girlover))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"Number of baby boys underweight:"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(girlunder))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"Number of baby boys normal weight:"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(girlnormal))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80"/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1"/>
          <w:szCs w:val="21"/>
          <w:highlight w:val="white"/>
          <w:rtl w:val="0"/>
        </w:rPr>
        <w:t xml:space="preserve">break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