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INP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STA 99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INP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STA 98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LDA 99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SUB 98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BRZ 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LDA 99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OUT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LDA 98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OUT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HLT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LDA 99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ADD 98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OUT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HLT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