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3.png" ContentType="image/png"/>
  <Override PartName="/word/media/image2.png" ContentType="image/png"/>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DPI11articletype"/>
        <w:spacing w:before="240" w:after="0"/>
        <w:rPr/>
      </w:pPr>
      <w:r>
        <w:rPr/>
        <w:t>Article</w:t>
      </w:r>
    </w:p>
    <w:p>
      <w:pPr>
        <w:pStyle w:val="MDPI12title"/>
        <w:tabs>
          <w:tab w:val="left" w:pos="2687" w:leader="none"/>
        </w:tabs>
        <w:spacing w:lineRule="atLeast" w:line="240"/>
        <w:rPr/>
      </w:pPr>
      <w:r>
        <w:rPr/>
        <w:t>Moral Necessity and the Implementation of Modernity</w:t>
      </w:r>
    </w:p>
    <w:p>
      <w:pPr>
        <w:pStyle w:val="MDPI17abstract"/>
        <w:rPr>
          <w:color w:val="00000A"/>
        </w:rPr>
      </w:pPr>
      <w:r>
        <w:rPr>
          <w:b/>
        </w:rPr>
        <w:t xml:space="preserve">Abstract: </w:t>
      </w:r>
      <w:r>
        <w:rPr/>
        <w:t>Analytical and continental philosophy follow research programs with respect to moral responsibility that are sometimes perceived to be incommensurable. An analytical philosopher, P.F. Strawson, presents a view of moral responsibility that underlines how essential ordinary moral reactive attitudes are to a meaningful human existence that is not threatened to collapse into a dystopian objectivity. This view challenges the mainstream discourse in analytical philosophy where reactive attitudes are sometimes seen to be derivative of more abstract metaphysical theories, such as determinism. This paper articulates a criticism of Strawson’s argument from thinkers who are clearly in the continental milieu, but who use for their account of moral responsibility concepts more usually traded in analytical philosophy. Moral responsibility, in their view, is constitutively linked to accounts of rationality and an assessment of the agent’s epistemological possibilities. They (my primary representatives of this view are Kafka and Foucault) fit into the category of Strawson’s pessimists, but for reasons that significantly extend the debate and demonstrate how fruitful it can be to view moral philosophy in an exchange of ideas between analytical and continental philosophy.</w:t>
      </w:r>
    </w:p>
    <w:p>
      <w:pPr>
        <w:pStyle w:val="MDPI18keywords"/>
        <w:rPr/>
      </w:pPr>
      <w:r>
        <w:rPr>
          <w:b/>
        </w:rPr>
        <w:t xml:space="preserve">Keywords: </w:t>
      </w:r>
      <w:r>
        <w:rPr/>
        <w:t>Franz Kafka; Michel Foucault; P.F. Strawson; freedom and resentment; reactive attitudes; free will; determinism; modernity; moral responsibility; contingency</w:t>
      </w:r>
    </w:p>
    <w:p>
      <w:pPr>
        <w:pStyle w:val="MDPI19line"/>
        <w:rPr/>
      </w:pPr>
      <w:r>
        <w:rPr/>
      </w:r>
    </w:p>
    <w:p>
      <w:pPr>
        <w:pStyle w:val="MDPI21heading1"/>
        <w:rPr>
          <w:lang w:eastAsia="zh-CN"/>
        </w:rPr>
      </w:pPr>
      <w:r>
        <w:rPr>
          <w:lang w:eastAsia="zh-CN"/>
        </w:rPr>
        <w:t>1. Introduction</w:t>
      </w:r>
    </w:p>
    <w:p>
      <w:pPr>
        <w:pStyle w:val="MDPI31text"/>
        <w:rPr>
          <w:lang w:eastAsia="zh-CN"/>
        </w:rPr>
      </w:pPr>
      <w:r>
        <w:rPr>
          <w:lang w:eastAsia="zh-CN"/>
        </w:rPr>
        <w:t>There are two competing views on moral responsibility. One view gives priority to ‘conscience,’ an essentially (or existentially) human feature calling individuals to define themselves and perform actions in keeping with a particular way in which human beings understand themselves apart from or in addition to what it means to be human in scientific or rational ways. Even though it is tempting to attribute this view more broadly to continental philosophy rather than analytical philosophy, I have selected a continental and an analytical philosopher to represent it: Martin Heidegger and P.F. Strawson.</w:t>
      </w:r>
    </w:p>
    <w:p>
      <w:pPr>
        <w:pStyle w:val="MDPI31text"/>
        <w:rPr>
          <w:lang w:eastAsia="zh-CN"/>
        </w:rPr>
      </w:pPr>
      <w:r>
        <w:rPr>
          <w:lang w:eastAsia="zh-CN"/>
        </w:rPr>
        <w:t>Another view embeds moral responsibility in the way in which we more generally view decision-making and motivating behaviour.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pPr>
        <w:pStyle w:val="MDPI31text"/>
        <w:rPr>
          <w:lang w:eastAsia="zh-CN"/>
        </w:rPr>
      </w:pPr>
      <w:r>
        <w:rPr>
          <w:lang w:eastAsia="zh-CN"/>
        </w:rPr>
        <w:t>Even though it is tempting to attribute this view more broadly to analytical philosophy (see, for example, the prominence of utilitarian ethics in analytical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analytical philosophy that “reactive attitudes remain within the bounds of reason” (Russell, 1992, 302), but add the element that human beings are not in the least equipped to meet standard rationality requirements.</w:t>
      </w:r>
    </w:p>
    <w:p>
      <w:pPr>
        <w:pStyle w:val="MDPI31text"/>
        <w:rPr>
          <w:lang w:eastAsia="zh-CN"/>
        </w:rPr>
      </w:pPr>
      <w:r>
        <w:rPr>
          <w:lang w:eastAsia="zh-CN"/>
        </w:rPr>
        <w:t>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respect to understanding themselves. I have selected Franz Kafka and Michel Foucault as representatives of this view; neither of them analytical philosophers (one of them not a philosopher at all), but it is my intention to show how their position can be rendered intelligible in the terms of analytical moral philosophy and what the consequences are for moral philosophy in general.</w:t>
      </w:r>
    </w:p>
    <w:p>
      <w:pPr>
        <w:pStyle w:val="MDPI21heading1"/>
        <w:rPr>
          <w:lang w:eastAsia="zh-CN"/>
        </w:rPr>
      </w:pPr>
      <w:r>
        <w:rPr>
          <w:lang w:eastAsia="zh-CN"/>
        </w:rPr>
        <w:t>2. Necessity of Moral Responsibility</w:t>
      </w:r>
    </w:p>
    <w:p>
      <w:pPr>
        <w:pStyle w:val="MDPI31text"/>
        <w:rPr/>
      </w:pPr>
      <w:r>
        <w:rPr/>
        <w:t>In his article “Freedom and Resentment,” Strawson embarks on a mission in moral philosophy that runs parallel to Jürgen Habermas’s idea of detranscendentalizing in the philosophy of rationality. Immanuel Kant had given both the philosophy of rationality and the philosophy of morality strongly transcendental credentials, and both Strawson and Habermas are committed to saving the enlightenment project from what Strawson calls ‘over-intellectualizing.’</w:t>
      </w:r>
    </w:p>
    <w:p>
      <w:pPr>
        <w:pStyle w:val="MDPI31text"/>
        <w:rPr/>
      </w:pPr>
      <w:r>
        <w:rPr/>
        <w:t>Strawson’s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pPr>
        <w:pStyle w:val="MDPI31text"/>
        <w:rPr/>
      </w:pPr>
      <w:r>
        <w:rPr/>
        <w:t>The problem, as the pessimists (libertarians, skeptics) point out, is that moral distinctions would then fail to be merit-based, as effective as they may be. Morality would devolve into “intellectual understanding, management, treatment, and control” (Strawson, 2008, 18). For the pessimists, this devolution constitutes a failure to give a coherent account of what is meant by morality. Kafka and Foucault, who are Strawsonian pessimists of sorts, consider this devolution to be representative for the implementation of modernity, but more about this in a moment. Strawson’s solution to the pessimist’s challenge is to detranscendentalize morality. The pessimists have to give up on their stilted metaphysics; the optimists have to give up on the moral picture “painted in a style appropriate to a situation envisaged as wholly dominated by objectivity of attitude. The only operative notions invoked in this picture are such as those of policy, treatment, control” (Strawson, 2008, 22).</w:t>
      </w:r>
    </w:p>
    <w:p>
      <w:pPr>
        <w:pStyle w:val="MDPI31text"/>
        <w:rPr/>
      </w:pPr>
      <w:r>
        <w:rPr/>
        <w:t>It is central to Strawson’s account of moral responsibility that moral judgments are not primarily objective but rather participant attitudes. Humans have a natural commitment to ordinary interpersonal attitudes. “This commitment is part of the general framework of human life, not something that can come up for review” (Strawson, 2008, 14). According to Strawson, we cannot take seriously the thought that a high-level theoretical question such as whether or not determinism is true would lead to the decay of the personal reactive attitudes. Jonathan Bennett summarizes,</w:t>
      </w:r>
    </w:p>
    <w:p>
      <w:pPr>
        <w:pStyle w:val="MDPI31text"/>
        <w:rPr/>
      </w:pPr>
      <w:r>
        <w:rPr/>
      </w:r>
    </w:p>
    <w:p>
      <w:pPr>
        <w:pStyle w:val="MDPI31text"/>
        <w:ind w:left="720" w:right="720" w:hanging="0"/>
        <w:rPr>
          <w:sz w:val="18"/>
          <w:szCs w:val="18"/>
        </w:rPr>
      </w:pPr>
      <w:r>
        <w:rPr>
          <w:sz w:val="18"/>
          <w:szCs w:val="18"/>
        </w:rPr>
        <w:t>if we try to imagine our lives without reactive feelings we find ourselves … confronted by bleak desolation. We cannot be obliged to give up something whose loss would gravely worsen the human condition, and so reactive feelings cannot be made impermissible by any facts. (Bennett, 1980, 29)</w:t>
      </w:r>
    </w:p>
    <w:p>
      <w:pPr>
        <w:pStyle w:val="MDPI31text"/>
        <w:rPr/>
      </w:pPr>
      <w:r>
        <w:rPr/>
      </w:r>
    </w:p>
    <w:p>
      <w:pPr>
        <w:pStyle w:val="MDPI31text"/>
        <w:rPr/>
      </w:pPr>
      <w:r>
        <w:rPr/>
        <w:t>In keeping with a cultural trend in the philosophy of the mid-20th century, Strawson’s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favour of, as Habermas calls it, a situated view of humanity. For Habermas, transcendental rationality gives way to a rationality implemented in communicative action that aspires towards an ideal speech situation. For Strawson, the cold-blooded scientific approach of the optimist and the metaphysical exuberance of the pessimist give way to a realistic and embodied assessment of human psychology.</w:t>
      </w:r>
    </w:p>
    <w:p>
      <w:pPr>
        <w:pStyle w:val="MDPI31text"/>
        <w:rPr/>
      </w:pPr>
      <w:r>
        <w:rPr/>
        <w:t>Antithetical to this assessment is the idea that moral agents can fully emancipate themselves from their participant attitudes and hold objective attitudes instead. Strawson goes into some detail what the dystopian consequences of a moral account whose transactions are exclusively determined by objective attitudes (examples may be the Kantian moral agent whose moral sense is derivative of transcendental rationality; or the utilitarian who performs a calculus to identify the optimal means to achieving her moral aims).</w:t>
      </w:r>
    </w:p>
    <w:p>
      <w:pPr>
        <w:pStyle w:val="MDPI31text"/>
        <w:rPr/>
      </w:pPr>
      <w:r>
        <w:rPr/>
      </w:r>
    </w:p>
    <w:p>
      <w:pPr>
        <w:pStyle w:val="MDPI31text"/>
        <w:ind w:left="720" w:right="720" w:hanging="0"/>
        <w:rPr>
          <w:sz w:val="18"/>
          <w:szCs w:val="18"/>
        </w:rPr>
      </w:pPr>
      <w:r>
        <w:rPr>
          <w:sz w:val="18"/>
          <w:szCs w:val="18"/>
        </w:rPr>
        <w:t>A sustained objectivity of inter-personal attitude, and the human isolation which that would entail, does not seem to be something of which human beings would be capable, even if some general truth were a theoretical ground for it. (Strawson, 2008, 12)</w:t>
      </w:r>
    </w:p>
    <w:p>
      <w:pPr>
        <w:pStyle w:val="MDPI31text"/>
        <w:rPr/>
      </w:pPr>
      <w:r>
        <w:rPr/>
      </w:r>
    </w:p>
    <w:p>
      <w:pPr>
        <w:pStyle w:val="MDPI31text"/>
        <w:rPr/>
      </w:pPr>
      <w:r>
        <w:rPr/>
        <w:t>Strawson goes on to describe the ‘abnormal egocentricity’ required to maintain that a metaphysical theory (such as determinism) can lead to the collapse of moral structure in human behaviour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pPr>
        <w:pStyle w:val="MDPI31text"/>
        <w:rPr/>
      </w:pPr>
      <w:r>
        <w:rPr/>
        <w:t>My claim is that there is a sense in which Kafka and Foucault take up this challenge and show in which ways it is not only possible that Strawson’s dystopia is implemented but that modernity has already largely progressed to a state where both individuals and collectives no longer meaningfully identify as moral agents.</w:t>
      </w:r>
    </w:p>
    <w:p>
      <w:pPr>
        <w:pStyle w:val="MDPI31text"/>
        <w:rPr/>
      </w:pPr>
      <w:r>
        <w:rPr/>
        <w:t xml:space="preserve">Strawson has confident pronouncements about what is and what is not essential to human nature. One might claim that there will never be an end to poverty, tribalism, jealousy, sexual harassment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and detach herself from what a moment ago she may have considered her ‘nature.’ Both Kafka and Foucault are to some degree epigones of Sigmund Freud in this instance, who was not chiefly interested in pathological </w:t>
      </w:r>
      <w:r>
        <w:rPr>
          <w:i/>
        </w:rPr>
        <w:t>expression</w:t>
      </w:r>
      <w:r>
        <w:rPr/>
        <w:t xml:space="preserve"> of natural sentiments such as jealousy and violence, but in their pathological </w:t>
      </w:r>
      <w:r>
        <w:rPr>
          <w:i/>
        </w:rPr>
        <w:t>suppression</w:t>
      </w:r>
      <w:r>
        <w:rPr/>
        <w:t xml:space="preserve"> and the ability of persons to substitute, triangulate within themselves, and consider themselves (often deceptively) from a third-person perspective. In </w:t>
      </w:r>
      <w:r>
        <w:rPr>
          <w:i/>
        </w:rPr>
        <w:t>De la Grammatologie</w:t>
      </w:r>
      <w:r>
        <w:rPr/>
        <w:t xml:space="preserve"> (1967), Jacques Derrida has suggestively and in a manner quite foreign to analytical philosophy portrayed this phenomenon as ‘supplement of the origin.’</w:t>
      </w:r>
      <w:r>
        <w:rPr>
          <w:i/>
        </w:rPr>
        <w:t xml:space="preserve"> </w:t>
      </w:r>
      <w:r>
        <w:rPr/>
        <w:t>For Kafka and Foucault, along similar lines, the alienation of modern humans from their attachment to moral responsibility becomes an issue and a (grim) possibility.</w:t>
      </w:r>
    </w:p>
    <w:p>
      <w:pPr>
        <w:pStyle w:val="MDPI31text"/>
        <w:rPr/>
      </w:pPr>
      <w:r>
        <w:rPr/>
        <w:t>The logical progression of this paper is served best if I first provide an account and a characterization of the way in which moral responsibility is necessary for an analytical philosopher like P.F. Strawson; I will provide a contrasting account of this necessity in the continental philosophy of Martin Heidegger. These accounts of necessity provide a foil against which the rejection of necessity by Kafka and Foucault becomes that much more pertinent. Foucault’s philosophy on this question derives from Hume via Nietzschean “genealogy.” Hume, ironically, used genealogy to answer the question how a sentimentalist account of moral responsibility can salvage the necessity of moral responsibility. Nietzsche (to some degree) and Foucault (in full measure) replace the core of necessity in the Humean genealogy by a core of contingency, Kafka following suit by narratively operationalizing a modern concept of moral responsibility that is almost exclusively viewed within a framework of contingency and confusion about causal dependencies.</w:t>
      </w:r>
    </w:p>
    <w:p>
      <w:pPr>
        <w:pStyle w:val="MDPI31text"/>
        <w:rPr/>
      </w:pPr>
      <w:r>
        <w:rPr/>
        <w:t>The tug of war between these conflicting accounts pits the necessity of reactive attitudes in a world that must make sense to human interpretation and provide some meaning to human life against a confrontation with the historical contingencies of modernity. There is some agreement between the opposing sides: Strawson and Foucault both resist Kantian (rationalist) and Heideggerian (existentialist) metaphysics. A proper description of moral responsibility takes into account how it is grounded in de-transcendentalized and embodied “facts on the ground.” Once these commonalities are established and Strawson’s account of moral necessity is explicated, the bulk of the paper traces how Foucault and Kafka undermine this necessity in philosophical and literary terms.</w:t>
      </w:r>
    </w:p>
    <w:p>
      <w:pPr>
        <w:pStyle w:val="MDPI21heading1"/>
        <w:rPr>
          <w:lang w:eastAsia="zh-CN"/>
        </w:rPr>
      </w:pPr>
      <w:r>
        <w:rPr>
          <w:lang w:eastAsia="zh-CN"/>
        </w:rPr>
        <w:t xml:space="preserve">3. </w:t>
      </w:r>
      <w:r>
        <w:rPr/>
        <w:t>Modernity and Moral Responsibility</w:t>
      </w:r>
    </w:p>
    <w:p>
      <w:pPr>
        <w:pStyle w:val="MDPI31text"/>
        <w:rPr/>
      </w:pPr>
      <w:r>
        <w:rPr/>
        <w:t xml:space="preserve">In his book </w:t>
      </w:r>
      <w:r>
        <w:rPr>
          <w:i/>
        </w:rPr>
        <w:t>Being and Time</w:t>
      </w:r>
      <w:r>
        <w:rPr/>
        <w:t>, Heidegger argues that the distance created by the existence of a self-conscious being and the fact that this existence is an issue of concern for that being becomes the foundation for a specific type of existence. This existence has a different ontological structure than the existence of galaxies, chairs, the Higgs boson, black swans, or unicorns. Moral responsibility is thus immediately divorced from mere facts about external reality, especially, in view of what I will discuss further below, from contingent historical facts. In §58, Heidegger characterizes moral responsibility in terms of conscience, a call by the self to the self towards the possibilities of existence.</w:t>
      </w:r>
    </w:p>
    <w:p>
      <w:pPr>
        <w:pStyle w:val="MDPI31text"/>
        <w:rPr/>
      </w:pPr>
      <w:r>
        <w:rPr/>
        <w:t>What Strawson and Heidegger have in common is the necessity of de-intellectualized morality for human life. For Strawson this is a simple fact of human nature, one that may within the constraint that it is not up for metaphysical review be open to scientific inquiry. For Heidegger, it is a more fundamental condition for existence as such. Guilt is primarily an intransitive ontological condition rather than a transitive consequence of the distinction between good and evil— one finds echoes of this view in Kafka’s work. Transitivity is the grammatical feature of requiring an object, in this case an object of guilt, the violation or transgression of a rule.</w:t>
      </w:r>
    </w:p>
    <w:p>
      <w:pPr>
        <w:pStyle w:val="MDPI31text"/>
        <w:rPr/>
      </w:pPr>
      <w:r>
        <w:rPr/>
        <w:t>For Strawson, the relevant metaphysical feature circumscribing the derivative nature of moral responsibility in modern analytical philosophy is the theory of determinism (or indeterminism). Strawson, and again there is agreement here between Strawson and the opposition (which he calls the “pessimists”), paints a bleak picture of what would follow if as a consequence of this derivative nature a possible world becomes an actual world and all sense of moral responsibility collapses. Strawson seeks to forestall this possibility by invoking necessity for moral responsibility, not on a metaphysical level where Strawson knows it cannot be defended; but on an embodied, de-transcendentalized, de-intellectualized level.</w:t>
      </w:r>
    </w:p>
    <w:p>
      <w:pPr>
        <w:pStyle w:val="MDPI31text"/>
        <w:rPr/>
      </w:pPr>
      <w:r>
        <w:rPr/>
        <w:t xml:space="preserve">The collapse of transcendental, metaphysical moral responsibility becomes in Foucault and Kafka an occasion for a descriptive project—philosophical in Foucault’s case, literary in Kafka’s case. Neither of them claim that there is now impossibility of moral judgment. Yet economic, historical, and psychological contingencies have placed possibilities of moral judgment out of reach for the modern person. As a referee for this paper aptly put it, “Foucault is in the business of meticulously tracing the historical coming to be of concepts, institutions, practices, and forms of agency which seem to us inevitable (and thus universal).” </w:t>
      </w:r>
    </w:p>
    <w:p>
      <w:pPr>
        <w:pStyle w:val="MDPI31text"/>
        <w:rPr/>
      </w:pPr>
      <w:r>
        <w:rPr/>
        <w:t>Modernity is superimposed on mental constructs of necessity. Both Foucault and Kafka are keenly interested in describing the consequence of this superimposition. Strawson seeks to rectify the relation of metaphysical to moral theory, largely agreeing with those he calls “optimists” that a metaphysically attuned moral theory (in Strawson’s case this implies that the moral theory is suitably detached from transcendental encumbrance) is compatible with the modern world. Foucault and Kafka describe the failure of the modern world to accommodate moral responsibility and the failure of moral theory to accommodate the modern world.</w:t>
      </w:r>
    </w:p>
    <w:p>
      <w:pPr>
        <w:pStyle w:val="MDPI31text"/>
        <w:rPr/>
      </w:pPr>
      <w:r>
        <w:rPr/>
        <w:t>In post-Strawsonian and more recent analytical discourse on ethical theory the tendency has been to work out what modern progress will contribute to morality. Some see traditional moral claims undermined by cognitive science or evolutionary theory. Patricia Churchland, for example, states matter-of-factly that confronted with scientific insight about the brain, “the traditional field of ethics must itself undergo recalibration” (Churchland, 2006, 3). E.O. Wilson, a renowned evolutionary biologist, has invited his readers to consider “the possibility that the time has come for ethics to be removed temporarily from the hand of the philosophers and biologicized” (Wilson, 2000, 562).</w:t>
      </w:r>
      <w:bookmarkStart w:id="0" w:name="wilson"/>
      <w:bookmarkEnd w:id="0"/>
      <w:r>
        <w:rPr/>
        <w:t xml:space="preserve"> Philosophers have taken up this challenge in addressing ‘debunking arguments’ from evolutionary theory towards ethics and morality (see Wilkins, 2010; Brosnan, 2010; Kahane, 2011).</w:t>
      </w:r>
    </w:p>
    <w:p>
      <w:pPr>
        <w:pStyle w:val="MDPI31text"/>
        <w:rPr/>
      </w:pPr>
      <w:r>
        <w:rPr/>
        <w:t xml:space="preserve">From Christine Korsgaard’s neo-Kantianism in </w:t>
      </w:r>
      <w:r>
        <w:rPr>
          <w:i/>
        </w:rPr>
        <w:t>The Sources of Normativity</w:t>
      </w:r>
      <w:r>
        <w:rPr/>
        <w:t xml:space="preserve"> (1996) to Simon Blackburn’s neo-Humeanism in </w:t>
      </w:r>
      <w:r>
        <w:rPr>
          <w:i/>
        </w:rPr>
        <w:t xml:space="preserve">Ruling Passions </w:t>
      </w:r>
      <w:r>
        <w:rPr/>
        <w:t xml:space="preserve">(1998), the need is recognized to reconcile modern experience with ethical theory. What Kafka and Foucault in their more descriptive approach make poignant is the degree to which modern moral responsibility depends on the economic, historical, and psychological structures of the modern world, many of which remain subterranean in the discourse of analytical philosophy. Bernard Williams has given voice to this type of skepticism about the ongoing analytical discourse in moral theory in </w:t>
      </w:r>
      <w:r>
        <w:rPr>
          <w:i/>
        </w:rPr>
        <w:t>Ethics and the Limits of Philosophy</w:t>
      </w:r>
      <w:r>
        <w:rPr/>
        <w:t xml:space="preserve"> (1985), where he traces “distinctive features of morality [to] closely related processes of modernization” (8). </w:t>
      </w:r>
    </w:p>
    <w:p>
      <w:pPr>
        <w:pStyle w:val="MDPI31text"/>
        <w:rPr/>
      </w:pPr>
      <w:r>
        <w:rPr/>
        <w:t xml:space="preserve">Williams is broadly critical of Alasdair MacIntyre and the latter’s project of returning to a more Aristotelian view of ethics in analytical philosophy, for example in </w:t>
      </w:r>
      <w:r>
        <w:rPr>
          <w:i/>
        </w:rPr>
        <w:t>The Task of Philosophy</w:t>
      </w:r>
      <w:r>
        <w:rPr/>
        <w:t xml:space="preserve"> (2006, a collection of earlier papers). Williams derides MacIntyre’s approach as an attempt to rewind the clock to premodern times. Williams’ brief assessment is supported by the much more wide-ranging literary and philosophical analysis in Kafka and Foucault; and it can be equally applied to Strawson’s argument for the necessity of moral responsibility. These, in a nutshell, are two core claims of my paper.</w:t>
      </w:r>
    </w:p>
    <w:p>
      <w:pPr>
        <w:pStyle w:val="MDPI21heading1"/>
        <w:rPr>
          <w:lang w:eastAsia="zh-CN"/>
        </w:rPr>
      </w:pPr>
      <w:r>
        <w:rPr>
          <w:lang w:eastAsia="zh-CN"/>
        </w:rPr>
        <w:t xml:space="preserve">4. </w:t>
      </w:r>
      <w:r>
        <w:rPr/>
        <w:t>Implementation of Modernity</w:t>
      </w:r>
    </w:p>
    <w:p>
      <w:pPr>
        <w:pStyle w:val="MDPI31text"/>
        <w:ind w:firstLine="420"/>
        <w:rPr/>
      </w:pPr>
      <w:r>
        <w:rPr/>
        <w:t>In the following, I will discuss pushback against the insistence on necessity for moral responsibility. The insistence is undermined in particular by specific features of modernity that withdraw from normative beliefs essen</w:t>
      </w:r>
      <w:bookmarkStart w:id="1" w:name="_GoBack"/>
      <w:bookmarkEnd w:id="1"/>
      <w:r>
        <w:rPr/>
        <w:t xml:space="preserve">tial supports in facts that were previously assumed in a quasi-axiomatic fashion, lending both the facts and the normativity based on them a flavour of naturalness. These include such items as hierarchical organization, integrity of the self, possibilities for self-knowledge, the supremacy of reason over the will, and the assumption that the establishment of norms and values is primarily an exercise in metaphysics. Clearly this is a narrow selection of phenomena that we broadly call modern; I have chosen them because they find an echo in Kafka’s literature and they are tributaries to if not the collapse </w:t>
      </w:r>
      <w:bookmarkStart w:id="2" w:name="imp"/>
      <w:bookmarkEnd w:id="2"/>
      <w:r>
        <w:rPr/>
        <w:t>then certainly a problematization of moral responsibility in expressions of modern culture.</w:t>
      </w:r>
    </w:p>
    <w:p>
      <w:pPr>
        <w:pStyle w:val="MDPI31text"/>
        <w:rPr/>
      </w:pPr>
      <w:r>
        <w:rPr/>
        <w:t xml:space="preserve">In his account of justice in </w:t>
      </w:r>
      <w:r>
        <w:rPr>
          <w:i/>
        </w:rPr>
        <w:t>A Treatise of Human Nature</w:t>
      </w:r>
      <w:r>
        <w:rPr/>
        <w:t xml:space="preserve"> (3.2.1), David Hume provides one of the first instances of what Friedrich Nietzsche would later call a ‘genealogy.’ In this account, Hume relativizes the metaphysical credentials of justice and characterizes it instead as organically grown in the soil of social interaction among humans. It is critically important to Hume, however, that justice arises from the social needs of humans as a matter of necessity.</w:t>
      </w:r>
    </w:p>
    <w:p>
      <w:pPr>
        <w:pStyle w:val="MDPI31text"/>
        <w:rPr/>
      </w:pPr>
      <w:r>
        <w:rPr/>
        <w:t xml:space="preserve">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 What is of interest to me in this section is how the specific features of modernity listed above have prepared the way for both the dystopian picture of normativity and ethics in Kafka and the gradual move from the kind of empiricist naturalism that Hume espouses, which defends and upholds the necessity of morality (a modern-day and less-than-subtle proponent of this view is Sam Harris, for example in </w:t>
      </w:r>
      <w:r>
        <w:rPr>
          <w:i/>
        </w:rPr>
        <w:t>The Moral Landscape: How Science Can Determine Human Values</w:t>
      </w:r>
      <w:r>
        <w:rPr/>
        <w:t xml:space="preserve">, 2010; </w:t>
      </w:r>
      <w:r>
        <w:rPr/>
        <w:t xml:space="preserve">see also Moritz Schlick, </w:t>
      </w:r>
      <w:r>
        <w:rPr>
          <w:i/>
          <w:iCs/>
        </w:rPr>
        <w:t>Problems of Ethics</w:t>
      </w:r>
      <w:r>
        <w:rPr/>
        <w:t>) to Foucault’s vision. Foucault, in the tradition of a Kantian critique, subjugates the necessity of moral prescription to the contingency of historical description and thereby perhaps mortally compromises it, although Foucault himself is famously restrained about the normative consequences of his findings.</w:t>
      </w:r>
    </w:p>
    <w:p>
      <w:pPr>
        <w:pStyle w:val="MDPI31text"/>
        <w:rPr/>
      </w:pPr>
      <w:r>
        <w:rPr/>
        <w:t xml:space="preserve">Since literary criticism and locating an analytical philosophical position in Kafka’s work come together in this paper, I want to use a particular story by Kafka, “The Great Wall of China” (written in 1917; the translation that I will use is by Ian Johnston), to illustrate the factors of what I consider the modern problematization of moral agency in Kafka. It is important to note that modern problematization does not imply a lack of desire on part of modern persons to avail themselves of moral evaluation or that it attenuates the salience of moral agency in the discourse of modernity (Foucault has given a compelling description of how practices and discourse can become decoupled in </w:t>
      </w:r>
      <w:r>
        <w:rPr>
          <w:i/>
        </w:rPr>
        <w:t>The History of Sexuality, Volume 1</w:t>
      </w:r>
      <w:r>
        <w:rPr/>
        <w:t>). Nietzsche writes,</w:t>
      </w:r>
    </w:p>
    <w:p>
      <w:pPr>
        <w:pStyle w:val="MDPI31text"/>
        <w:rPr/>
      </w:pPr>
      <w:bookmarkStart w:id="3" w:name="n103"/>
      <w:bookmarkStart w:id="4" w:name="n103"/>
      <w:bookmarkEnd w:id="4"/>
      <w:r>
        <w:rPr/>
      </w:r>
    </w:p>
    <w:p>
      <w:pPr>
        <w:pStyle w:val="MDPI31text"/>
        <w:ind w:left="720" w:right="720" w:hanging="0"/>
        <w:rPr>
          <w:sz w:val="18"/>
          <w:szCs w:val="18"/>
        </w:rPr>
      </w:pPr>
      <w:r>
        <w:rPr>
          <w:sz w:val="18"/>
          <w:szCs w:val="18"/>
        </w:rPr>
        <w:t>It goes without saying that I do not deny—unless I am a fool—that many actions called immoral ought to be avoided and resisted, or that many called moral ought to be done and encouraged, but I think the one should be encouraged and the other avoided for other reasons than hitherto. (</w:t>
      </w:r>
      <w:r>
        <w:rPr>
          <w:i/>
          <w:sz w:val="18"/>
          <w:szCs w:val="18"/>
        </w:rPr>
        <w:t>Daybreak</w:t>
      </w:r>
      <w:r>
        <w:rPr>
          <w:sz w:val="18"/>
          <w:szCs w:val="18"/>
        </w:rPr>
        <w:t>, section 103)</w:t>
      </w:r>
    </w:p>
    <w:p>
      <w:pPr>
        <w:pStyle w:val="MDPI31text"/>
        <w:ind w:left="720" w:right="720" w:hanging="0"/>
        <w:rPr>
          <w:sz w:val="18"/>
          <w:szCs w:val="18"/>
        </w:rPr>
      </w:pPr>
      <w:r>
        <w:rPr>
          <w:sz w:val="18"/>
          <w:szCs w:val="18"/>
        </w:rPr>
      </w:r>
    </w:p>
    <w:p>
      <w:pPr>
        <w:pStyle w:val="MDPI31text"/>
        <w:rPr/>
      </w:pPr>
      <w:r>
        <w:rPr/>
        <w:t>There is a sense of collapse for moral agency in cultural expressions of modernity–it is not only Kafka’s literature that speaks loudly to this effect. Kafka is always among the first to point out, however, that the collapse reveals a yearning: the message that the courier is supposed to carry in “The Great Wall of China” from the emperor to “you, the individual, that miserable subject” is hopelessly tangled up in the vastness of the imperial court, the capital city, and the country itself. However, while the courier’s mission is futile, you “sit at the window and dream of that message when evening comes.”</w:t>
      </w:r>
    </w:p>
    <w:p>
      <w:pPr>
        <w:pStyle w:val="MDPI31text"/>
        <w:rPr/>
      </w:pPr>
      <w:r>
        <w:rPr/>
        <w:t xml:space="preserve">With this caveat in mind, I want to trace the problematization of moral responsibility and specify its contributing factors: </w:t>
      </w:r>
    </w:p>
    <w:p>
      <w:pPr>
        <w:pStyle w:val="MDPI31text"/>
        <w:rPr/>
      </w:pPr>
      <w:r>
        <w:rPr/>
      </w:r>
    </w:p>
    <w:p>
      <w:pPr>
        <w:pStyle w:val="MDPI31text"/>
        <w:numPr>
          <w:ilvl w:val="0"/>
          <w:numId w:val="1"/>
        </w:numPr>
        <w:rPr/>
      </w:pPr>
      <w:r>
        <w:rPr>
          <w:b/>
        </w:rPr>
        <w:t>Hierarchy.</w:t>
      </w:r>
      <w:r>
        <w:rPr/>
        <w:t xml:space="preserve"> Normativity as traditionally conceived (i.e. in premodern ways in a Western European context) emanates from a centre. W.B. Yeats has prominently placed the collapse of the centre in his description of Twentieth Century modernity in the poem </w:t>
      </w:r>
      <w:r>
        <w:rPr>
          <w:i/>
        </w:rPr>
        <w:t>The Second Coming</w:t>
      </w:r>
      <w:r>
        <w:rPr/>
        <w:t>: “Things fall apart; the centre cannot hold.” Kafka describes it more in terms of accessibility of the imperial centre in “The Great Wall of China.” In the next section on Kafka’s account of moral responsibility I will detail the connection between epistemological access and moral agency; the short story “The Great Wall of China” plays on precisely the difference between metaphysical inference and epistemological access. No one in the story denies the existence of the emperor; yet for all practical purposes access to knowledge about the intentions of the emperor is denied. The traditional organizational flowchart of accountability is replaced by a multilayered construction, both in terms of history and vastness of territory, where intentionality, determinate location, and source are permanently obscured.</w:t>
      </w:r>
    </w:p>
    <w:p>
      <w:pPr>
        <w:pStyle w:val="MDPI31text"/>
        <w:ind w:left="1145" w:hanging="0"/>
        <w:rPr/>
      </w:pPr>
      <w:r>
        <w:rPr/>
      </w:r>
    </w:p>
    <w:p>
      <w:pPr>
        <w:pStyle w:val="MDPI31text"/>
        <w:numPr>
          <w:ilvl w:val="0"/>
          <w:numId w:val="1"/>
        </w:numPr>
        <w:rPr/>
      </w:pPr>
      <w:r>
        <w:rPr>
          <w:b/>
        </w:rPr>
        <w:t>Integrity of the Self.</w:t>
      </w:r>
      <w:r>
        <w:rPr/>
        <w:t xml:space="preserve"> Nietzsche formulated a sustained attack on the Cartesian integrity of the self and drew from it his well-known consequences for a “revaluation of values.” In Kafka, the vulnerability of this integrity is primarily represented by oneiric literary elements, in which he provides dreamlike sequences that show the protagonists in eerily changing circumstances, where the circumstances may very well include mental states, such as knowledge, beliefs, and desires so that the character has trouble recognizing himself or herself as a self with integrity. Examples for this oneiric element can be found in “A Country Doctor,” written also in 1917; and in “The Metamorphosis,” where it is less the dreamlike sequences but the reliability of selfhood that is at issue.</w:t>
      </w:r>
    </w:p>
    <w:p>
      <w:pPr>
        <w:pStyle w:val="ListParagraph"/>
        <w:ind w:firstLine="480"/>
        <w:rPr/>
      </w:pPr>
      <w:r>
        <w:rPr/>
      </w:r>
    </w:p>
    <w:p>
      <w:pPr>
        <w:pStyle w:val="MDPI31text"/>
        <w:ind w:left="1145" w:hanging="0"/>
        <w:rPr/>
      </w:pPr>
      <w:r>
        <w:rPr/>
      </w:r>
    </w:p>
    <w:p>
      <w:pPr>
        <w:pStyle w:val="MDPI31text"/>
        <w:numPr>
          <w:ilvl w:val="0"/>
          <w:numId w:val="1"/>
        </w:numPr>
        <w:rPr/>
      </w:pPr>
      <w:r>
        <w:rPr>
          <w:b/>
        </w:rPr>
        <w:t>Self-Knowledge.</w:t>
      </w:r>
      <w:r>
        <w:rPr/>
        <w:t xml:space="preserve"> It is again Nietzsche who vigorously denies possibilities for self-knowledge and draws pessimistic conclusions for his theory of modern morality. Kafka describes in “The Great Wall of China” how the self is managed in terms of its motivations by a project that is at its foundation hostile to a fulfilled life and how the deception in the service of a production machine (there are clearly Marx-inspired elements in Kafka’s story) creeps into “mental confusion”: “The deeper one descends … the more the doubts about [their] own knowledge disappear, and a superficial education surges up as high as a mountain around a few precepts drilled into them for centuries, sayings which, in fact, have lost nothing of their eternal truth, but which remain also eternally unrecognized in the mist and fog.” Note here again the explicit distinction between metaphysics (the eternal truth) and epistemology (mist and fog).</w:t>
      </w:r>
    </w:p>
    <w:p>
      <w:pPr>
        <w:pStyle w:val="MDPI31text"/>
        <w:ind w:left="1145" w:hanging="0"/>
        <w:rPr/>
      </w:pPr>
      <w:r>
        <w:rPr/>
      </w:r>
    </w:p>
    <w:p>
      <w:pPr>
        <w:pStyle w:val="MDPI31text"/>
        <w:numPr>
          <w:ilvl w:val="0"/>
          <w:numId w:val="1"/>
        </w:numPr>
        <w:rPr/>
      </w:pPr>
      <w:r>
        <w:rPr>
          <w:b/>
        </w:rPr>
        <w:t>Supremacy of Reason over the Will.</w:t>
      </w:r>
      <w:r>
        <w:rPr/>
        <w:t xml:space="preserve"> Strawsonian optimists rely on the specifically human ability to put their reasoning capacities above their instinctual drives in some meaningful way. Pessimists such as Nietzsche, Kafka, or Foucault claim that this view of humans as rational animals is ultimately incoherent. For Nietzsche, reason is merely the practice of a particular instinctual drive, which is sometimes in opposition to another drive; the human tendency to describe this opposition as a tug of war between the flesh and the spirit, as the Apostle Paul did, or as akrasia, as Aristotle did, or as any other kind of opposition between intellect and bodily desire, is according to Nietzsche epiphenomenal (for a more detailed and more precise analysis of epiphenomenality in Nietzsche see Leiter, 1998; and Katsafanas, 2013).</w:t>
      </w:r>
      <w:bookmarkStart w:id="5" w:name="leiter"/>
      <w:bookmarkEnd w:id="5"/>
      <w:r>
        <w:rPr/>
        <w:t xml:space="preserve"> Kafka’s characters are full of rationalizations, especially in his novels (Joseph K. in </w:t>
      </w:r>
      <w:r>
        <w:rPr>
          <w:i/>
        </w:rPr>
        <w:t>The Trial</w:t>
      </w:r>
      <w:r>
        <w:rPr/>
        <w:t xml:space="preserve">, Karl in </w:t>
      </w:r>
      <w:r>
        <w:rPr>
          <w:i/>
        </w:rPr>
        <w:t>Amerika</w:t>
      </w:r>
      <w:r>
        <w:rPr/>
        <w:t xml:space="preserve">, and K. in </w:t>
      </w:r>
      <w:r>
        <w:rPr>
          <w:i/>
        </w:rPr>
        <w:t>The Castle</w:t>
      </w:r>
      <w:r>
        <w:rPr/>
        <w:t>). It is part of their dramatic flow that the rationalizations seldom match the evolution of the plot.</w:t>
      </w:r>
    </w:p>
    <w:p>
      <w:pPr>
        <w:pStyle w:val="ListParagraph"/>
        <w:ind w:firstLine="480"/>
        <w:rPr/>
      </w:pPr>
      <w:r>
        <w:rPr/>
      </w:r>
    </w:p>
    <w:p>
      <w:pPr>
        <w:pStyle w:val="MDPI31text"/>
        <w:ind w:left="1145" w:hanging="0"/>
        <w:rPr/>
      </w:pPr>
      <w:r>
        <w:rPr/>
      </w:r>
    </w:p>
    <w:p>
      <w:pPr>
        <w:pStyle w:val="MDPI31text"/>
        <w:numPr>
          <w:ilvl w:val="0"/>
          <w:numId w:val="1"/>
        </w:numPr>
        <w:rPr/>
      </w:pPr>
      <w:r>
        <w:rPr>
          <w:b/>
        </w:rPr>
        <w:t>Metaphysics and Normativity.</w:t>
      </w:r>
      <w:r>
        <w:rPr/>
        <w:t xml:space="preserve"> In a Western European culture that is fundamentally marked by religious experience, there is a deep-seated connection between normativity and metaphysics. Beliefs about modes and states of existence are intimately linked to moral responsibility. The short story “The Great Wall of China” is a prominent example where Kafka seeks to disentangle metaphysics and normativity. Whereas there is “great insecurity” about who the emperor is and which dynasty is currently ruling (I am reading these as metaphors for metaphysical entities such as ‘God’ and the ‘Law’),</w:t>
      </w:r>
    </w:p>
    <w:p>
      <w:pPr>
        <w:pStyle w:val="MDPI31text"/>
        <w:rPr/>
      </w:pPr>
      <w:r>
        <w:rPr/>
      </w:r>
    </w:p>
    <w:p>
      <w:pPr>
        <w:pStyle w:val="MDPI31text"/>
        <w:ind w:left="1680" w:right="720" w:hanging="0"/>
        <w:rPr>
          <w:sz w:val="18"/>
          <w:szCs w:val="18"/>
        </w:rPr>
      </w:pPr>
      <w:r>
        <w:rPr>
          <w:sz w:val="18"/>
          <w:szCs w:val="18"/>
        </w:rPr>
        <w:t xml:space="preserve">… </w:t>
      </w:r>
      <w:r>
        <w:rPr>
          <w:sz w:val="18"/>
          <w:szCs w:val="18"/>
        </w:rPr>
        <w:t>the consequence … is a life which is to some extent free and uncontrolled. Not in any way immoral—purity of morals like those in my homeland I have hardly ever come across in my travels, nonetheless a life that stands under no present laws.</w:t>
      </w:r>
    </w:p>
    <w:p>
      <w:pPr>
        <w:pStyle w:val="MDPI31text"/>
        <w:rPr/>
      </w:pPr>
      <w:r>
        <w:rPr/>
        <w:t xml:space="preserve">This hopeful turn in Kafka is infrequent but clearly placed at strategic points to underline that moral responsibility in modern times cannot be a matter of metaphysical (or even de-transcendentalized) necessity; instead it follows from an alien sense of freedom after the observation of futility in the rational management of one’s affairs. Another passage that highlights this position is at the end of chapter 8 in </w:t>
      </w:r>
      <w:r>
        <w:rPr>
          <w:i/>
        </w:rPr>
        <w:t>The Castle</w:t>
      </w:r>
      <w:r>
        <w:rPr/>
        <w:t>, where</w:t>
      </w:r>
    </w:p>
    <w:p>
      <w:pPr>
        <w:pStyle w:val="MDPI31text"/>
        <w:rPr/>
      </w:pPr>
      <w:r>
        <w:rPr/>
      </w:r>
    </w:p>
    <w:p>
      <w:pPr>
        <w:pStyle w:val="MDPI31text"/>
        <w:ind w:left="720" w:right="720" w:hanging="0"/>
        <w:rPr>
          <w:sz w:val="18"/>
          <w:szCs w:val="18"/>
        </w:rPr>
      </w:pPr>
      <w:r>
        <w:rPr>
          <w:sz w:val="18"/>
          <w:szCs w:val="18"/>
        </w:rPr>
        <w:t xml:space="preserve">… </w:t>
      </w:r>
      <w:r>
        <w:rPr>
          <w:sz w:val="18"/>
          <w:szCs w:val="18"/>
        </w:rPr>
        <w:t>holding his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But—this conviction was at least equally strong—as if at the same time there was nothing more senseless, nothing more hopeless, than this freedom, this waiting, this inviolability. And he tore himself free and went back into the house …</w:t>
      </w:r>
    </w:p>
    <w:p>
      <w:pPr>
        <w:pStyle w:val="MDPI31text"/>
        <w:ind w:right="720" w:hanging="0"/>
        <w:rPr>
          <w:sz w:val="18"/>
          <w:szCs w:val="18"/>
        </w:rPr>
      </w:pPr>
      <w:r>
        <w:rPr>
          <w:sz w:val="18"/>
          <w:szCs w:val="18"/>
        </w:rPr>
      </w:r>
    </w:p>
    <w:p>
      <w:pPr>
        <w:pStyle w:val="MDPI21heading1"/>
        <w:rPr/>
      </w:pPr>
      <w:r>
        <w:rPr/>
        <w:t>5. Kafka’s Account of Moral Responsibility</w:t>
      </w:r>
    </w:p>
    <w:p>
      <w:pPr>
        <w:pStyle w:val="MDPI31text"/>
        <w:rPr/>
      </w:pPr>
      <w:r>
        <w:rPr/>
        <w:t>We now have a set of strong contrasts. The optimists versus the pessimists of Strawson’s argument; Strawson’s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pPr>
        <w:pStyle w:val="MDPI31text"/>
        <w:rPr/>
      </w:pPr>
      <w:r>
        <w:rPr/>
        <w:t>In an obscure French essay about Kafka, Claude-Edmonde Magny makes a compelling observation:</w:t>
      </w:r>
    </w:p>
    <w:p>
      <w:pPr>
        <w:pStyle w:val="MDPI31text"/>
        <w:rPr/>
      </w:pPr>
      <w:r>
        <w:rPr/>
      </w:r>
    </w:p>
    <w:p>
      <w:pPr>
        <w:pStyle w:val="MDPI31text"/>
        <w:ind w:left="720" w:right="720" w:hanging="0"/>
        <w:rPr>
          <w:sz w:val="18"/>
          <w:szCs w:val="18"/>
        </w:rPr>
      </w:pPr>
      <w:r>
        <w:rPr>
          <w:sz w:val="18"/>
          <w:szCs w:val="18"/>
        </w:rPr>
        <w:t>One can find in Kafka’s work a theory of responsibility, views on causality, finally a comprehensive interpretation of human destiny, all three sufficiently coherent and independent enough of their novelistic form to bear being transposed into purely intellectual terms.</w:t>
      </w:r>
      <w:r>
        <w:rPr>
          <w:rStyle w:val="FootnoteAnchor"/>
          <w:sz w:val="18"/>
          <w:szCs w:val="18"/>
        </w:rPr>
        <w:footnoteReference w:id="2"/>
      </w:r>
    </w:p>
    <w:p>
      <w:pPr>
        <w:pStyle w:val="MDPI31text"/>
        <w:rPr/>
      </w:pPr>
      <w:r>
        <w:rPr/>
      </w:r>
    </w:p>
    <w:p>
      <w:pPr>
        <w:pStyle w:val="MDPI31text"/>
        <w:rPr>
          <w:i/>
          <w:i/>
        </w:rPr>
      </w:pPr>
      <w:r>
        <w:rPr/>
        <w:t xml:space="preserve">This paper, which is committed to the view that there is philosophical insight in both the analytical and the continental tradition, has more specifically two aims: to shed a critical light (i) on Strawson’s account of moral responsibility, especially its claims about necessities of human nature; and (ii) on Kafka’s ability to address in literature philosophical claims that can be rendered analytically intelligible. </w:t>
      </w:r>
    </w:p>
    <w:p>
      <w:pPr>
        <w:pStyle w:val="MDPI31text"/>
        <w:rPr/>
      </w:pPr>
      <w:r>
        <w:rPr/>
        <w:t>There is a view that Kafka’s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Kafka’s texts are to all sorts of interpretation. W.H. Auden, for example, states in the first sentence of his essay on Kafka “The I Without a Self” that Kafka is the master of a literary genre “about which a critic can say very little worth saying” (Auden, 1962, 159). For this view, it is the fluidity of Kafka’s texts by which they effortlessly move from being viewed from one perspective to being viewed from an entirely different perspective that constitutes Kafka’s genius.</w:t>
      </w:r>
    </w:p>
    <w:p>
      <w:pPr>
        <w:pStyle w:val="MDPI31text"/>
        <w:rPr/>
      </w:pPr>
      <w:r>
        <w:rPr/>
        <w:t>My claim, by contrast, is that there are themes that run through Kafka’s literary output which can be captured by interpretation, translated into the terms of analytical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pPr>
        <w:pStyle w:val="MDPI31text"/>
        <w:rPr/>
      </w:pPr>
      <w:r>
        <w:rPr/>
        <w:t xml:space="preserve">There is an aporia in human life: we hold people morally accountable for their actions and choices, yet we are also aware that human decision-making proceeds in a complex field of causal influences that is to some degree epistemologically inaccessible. Moral blame attenuates as a superficial investigation yields to a deeper one. In the </w:t>
      </w:r>
      <w:r>
        <w:rPr>
          <w:i/>
        </w:rPr>
        <w:t>Nicomachean Ethics</w:t>
      </w:r>
      <w:r>
        <w:rPr/>
        <w:t>, Aristotle carefully distinguishes between different types of ignorance, especially ignorance about one’s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pPr>
        <w:pStyle w:val="MDPI31text"/>
        <w:rPr/>
      </w:pPr>
      <w:r>
        <w:rPr/>
        <w:t>In all three novels (</w:t>
      </w:r>
      <w:r>
        <w:rPr>
          <w:i/>
        </w:rPr>
        <w:t>The Trial</w:t>
      </w:r>
      <w:r>
        <w:rPr/>
        <w:t xml:space="preserve">, </w:t>
      </w:r>
      <w:r>
        <w:rPr>
          <w:i/>
        </w:rPr>
        <w:t>Amerika</w:t>
      </w:r>
      <w:r>
        <w:rPr/>
        <w:t xml:space="preserve">, and </w:t>
      </w:r>
      <w:r>
        <w:rPr>
          <w:i/>
        </w:rPr>
        <w:t>The Castle</w:t>
      </w:r>
      <w:r>
        <w:rP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never alleviates the sense of guilt on part of the unwitting and confused decision-maker. Especially in </w:t>
      </w:r>
      <w:r>
        <w:rPr>
          <w:i/>
        </w:rPr>
        <w:t>Amerika</w:t>
      </w:r>
      <w:r>
        <w:rPr/>
        <w:t>, there is a fair amount of interior ‘pep talk’ where the protagonist assures himself of his autonomy and his ability to reason in informed and logical ways; yet this innocent optimism is systematically sabotaged by the unfolding narrative.</w:t>
      </w:r>
    </w:p>
    <w:p>
      <w:pPr>
        <w:pStyle w:val="MDPI31text"/>
        <w:rPr/>
      </w:pPr>
      <w:r>
        <w:rPr/>
        <w:t>Kafka is not only a Strawsonian pessimist in the sense that the metaphysics of modernity results in the devolution of moral coherence; he is also an epistemological pessimist. He is not a skeptic in the sense that nobody knows anything. Rather, the moral agents in Kafka’s work know and are deceived about a wide variety of things of great importance to them, and as they investigate them (more often than not in good faith), it becomes apparent that their experience of epistemological failure in the past rules out any epistemological confidence in the future.</w:t>
      </w:r>
    </w:p>
    <w:p>
      <w:pPr>
        <w:pStyle w:val="MDPI31text"/>
        <w:rPr/>
      </w:pPr>
      <w:r>
        <w:rPr/>
        <w:t>While moral agents may know things, they can never be sure of things or trust their sensitivities. Knowing things does not translate into knowing that you know them. This view is incompatible with knowledge internalism, where K(</w:t>
      </w:r>
      <w:r>
        <w:rPr>
          <w:i/>
        </w:rPr>
        <w:t>X</w:t>
      </w:r>
      <w:r>
        <w:rPr/>
        <w:t>), knowing X, implies K(K(</w:t>
      </w:r>
      <w:r>
        <w:rPr>
          <w:i/>
        </w:rPr>
        <w:t>X</w:t>
      </w:r>
      <w:r>
        <w:rPr/>
        <w:t>)),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(“now no one, unless mad, could be ignorant of all these circumstances together; nor yet, obviously, of the agent</w:t>
        <w:softHyphen/>
        <w:t xml:space="preserve">—for a man must know who he is himself,” </w:t>
      </w:r>
      <w:r>
        <w:rPr>
          <w:i/>
        </w:rPr>
        <w:t>Nicomachean Ethics</w:t>
      </w:r>
      <w:r>
        <w:rPr/>
        <w:t>, 1111a.1), turns into the cultural malady of an epoch.</w:t>
      </w:r>
    </w:p>
    <w:p>
      <w:pPr>
        <w:pStyle w:val="MDPI31text"/>
        <w:rPr/>
      </w:pPr>
      <w:r>
        <w:rPr/>
      </w:r>
    </w:p>
    <w:p>
      <w:pPr>
        <w:pStyle w:val="MDPI31text"/>
        <w:ind w:left="720" w:right="720" w:hanging="0"/>
        <w:rPr>
          <w:sz w:val="18"/>
          <w:szCs w:val="18"/>
        </w:rPr>
      </w:pPr>
      <w:r>
        <w:rPr>
          <w:sz w:val="18"/>
          <w:szCs w:val="18"/>
        </w:rPr>
        <w:t xml:space="preserve">Everything of which we become conscious is arranged, simplified, schematized, interpreted through and through—the actual process of inner ‘perception,’ the causal connection between thoughts, feelings, desires, between subject and object, are absolutely hidden from us. (Nietzsche in </w:t>
      </w:r>
      <w:r>
        <w:rPr>
          <w:i/>
          <w:sz w:val="18"/>
          <w:szCs w:val="18"/>
        </w:rPr>
        <w:t>The Will to Power</w:t>
      </w:r>
      <w:r>
        <w:rPr>
          <w:sz w:val="18"/>
          <w:szCs w:val="18"/>
        </w:rPr>
        <w:t>, section 477)</w:t>
      </w:r>
    </w:p>
    <w:p>
      <w:pPr>
        <w:pStyle w:val="MDPI31text"/>
        <w:rPr/>
      </w:pPr>
      <w:r>
        <w:rPr/>
      </w:r>
    </w:p>
    <w:p>
      <w:pPr>
        <w:pStyle w:val="MDPI31text"/>
        <w:rPr/>
      </w:pPr>
      <w:r>
        <w:rPr/>
        <w:t>I will use Nietzsche’s and Foucault’s idea of genealogy to show that it is constitutive of considering oneself a moral agent that the origins of moral agency remain masked for the moral agent, illustrating Kafka’s epistemological pessimism. An unmasking of a genealogical concept such as moral agency or responsibility results in its collapse. In the context of Hume’s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pPr>
        <w:pStyle w:val="MDPI31text"/>
        <w:rPr/>
      </w:pPr>
      <w:r>
        <w:rPr/>
        <w:t>Hume considers the emergence of justice from this genealogical process to be a necessary and positive development—Nietzsche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behaviour.</w:t>
      </w:r>
    </w:p>
    <w:p>
      <w:pPr>
        <w:pStyle w:val="MDPI31text"/>
        <w:rPr/>
      </w:pPr>
      <w:r>
        <w:rPr/>
        <w:t xml:space="preserve">Deception is then not parasitic on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Kafka’s K. leaving Frieda to spend time with the family of Barnabas in </w:t>
      </w:r>
      <w:r>
        <w:rPr>
          <w:i/>
        </w:rPr>
        <w:t>The Castle</w:t>
      </w:r>
      <w:r>
        <w:rPr/>
        <w:t>), which is then vitiated by future contingencies and future diffusions.</w:t>
      </w:r>
    </w:p>
    <w:p>
      <w:pPr>
        <w:pStyle w:val="MDPI31text"/>
        <w:rPr/>
      </w:pPr>
      <w:r>
        <w:rPr/>
        <w:t xml:space="preserve">At the end, there is the existential guilt that Martin Buber has identified in Kafka’s texts (see Buber, 1960): a guilt which is purely formal and lacks all content, for while humans live under the burden of moral culpability, they cannot legitimately be made responsible for anything in particular. Kafka expresses this repeatedly in the </w:t>
      </w:r>
      <w:r>
        <w:rPr>
          <w:i/>
        </w:rPr>
        <w:t>Letter to His Father</w:t>
      </w:r>
      <w:r>
        <w:rPr/>
        <w:t xml:space="preserve"> when he identifies a “boundless sense of guilt” (Kafka, 1966, 68) while insisting that both he and his father are “entirely blameless” (loc. cit., 4) and declaring the “guiltlessness of us both” (loc. cit., 100).</w:t>
      </w:r>
    </w:p>
    <w:p>
      <w:pPr>
        <w:pStyle w:val="MDPI31text"/>
        <w:rPr/>
      </w:pPr>
      <w:r>
        <w:rP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pPr>
        <w:pStyle w:val="MDPI31text"/>
        <w:rPr/>
      </w:pPr>
      <w:r>
        <w:rPr/>
        <w:t>Nietzsche, Freud, and Foucault provide a more pessimistic picture of the invisible hand. Foucault, for example, describes an intricate network of micro-dominations which concatenate to produce technologies of power that victimize without perpetrator. Sigmund Freud’s invisible hand operates during an individual’s ontogenesis (rather than Darwin’s phylogenesis) in early childhood, where the origins and explanations for these operations are wiped out by amnesia, which makes the history of human agents inaccessible to them. The invisibility of this hand is everything but benign, leading to widespread psychological pathology.</w:t>
      </w:r>
    </w:p>
    <w:p>
      <w:pPr>
        <w:pStyle w:val="MDPI31text"/>
        <w:rPr/>
      </w:pPr>
      <w:r>
        <w:rPr/>
        <w:t>Nietzsche produces an account of concepts—concepts which to most of us sound metaphysically and eternally established—that locates their origins in the contingencies of human history: concepts such as morality, love, justice, knowledge, and truth. Bernard Williams describes Nietzsche’s idea of genealogy as follows:</w:t>
      </w:r>
    </w:p>
    <w:p>
      <w:pPr>
        <w:pStyle w:val="MDPI31text"/>
        <w:rPr/>
      </w:pPr>
      <w:r>
        <w:rPr/>
      </w:r>
    </w:p>
    <w:p>
      <w:pPr>
        <w:pStyle w:val="MDPI31text"/>
        <w:ind w:left="720" w:right="720" w:hanging="0"/>
        <w:rPr>
          <w:sz w:val="18"/>
          <w:szCs w:val="18"/>
        </w:rPr>
      </w:pPr>
      <w:r>
        <w:rPr>
          <w:sz w:val="18"/>
          <w:szCs w:val="18"/>
        </w:rPr>
        <w:t>A genealogy is a narrative that tries to explain a cultural phenomenon by describing a way in which it came about …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pPr>
        <w:pStyle w:val="MDPI31text"/>
        <w:rPr/>
      </w:pPr>
      <w:r>
        <w:rPr/>
      </w:r>
    </w:p>
    <w:p>
      <w:pPr>
        <w:pStyle w:val="MDPI31text"/>
        <w:ind w:hanging="0"/>
        <w:rPr/>
      </w:pPr>
      <w:r>
        <w:rPr/>
        <w:t>Foucault takes Nietzsche’s ideas further and explains:</w:t>
      </w:r>
    </w:p>
    <w:p>
      <w:pPr>
        <w:pStyle w:val="MDPI31text"/>
        <w:rPr/>
      </w:pPr>
      <w:r>
        <w:rPr/>
      </w:r>
    </w:p>
    <w:p>
      <w:pPr>
        <w:pStyle w:val="MDPI31text"/>
        <w:ind w:left="720" w:right="720" w:hanging="0"/>
        <w:rPr>
          <w:sz w:val="18"/>
          <w:szCs w:val="18"/>
        </w:rPr>
      </w:pPr>
      <w:r>
        <w:rPr>
          <w:sz w:val="18"/>
          <w:szCs w:val="18"/>
        </w:rPr>
        <w:t>However, if the genealogist refuses to extend his faith in metaphysics, if he listens to history, he finds that there is ‘something altogether different’ behind things: not a timeless and essential secret, but the secrets that they have no essence or that their essence was fabricated in a piecemeal fashion from alien forms. (Foucault, 1977, 142)</w:t>
      </w:r>
    </w:p>
    <w:p>
      <w:pPr>
        <w:pStyle w:val="MDPI31text"/>
        <w:rPr/>
      </w:pPr>
      <w:r>
        <w:rPr/>
      </w:r>
    </w:p>
    <w:p>
      <w:pPr>
        <w:pStyle w:val="MDPI31text"/>
        <w:rPr/>
      </w:pPr>
      <w:r>
        <w:rPr/>
        <w:t xml:space="preserve">Kafka anticipates many of Foucault’s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Dostoyevsky’s </w:t>
      </w:r>
      <w:r>
        <w:rPr>
          <w:i/>
        </w:rPr>
        <w:t xml:space="preserve">Notes from the Underground </w:t>
      </w:r>
      <w:r>
        <w:rPr/>
        <w:t xml:space="preserve">(Dostoyevsky is an author that Kafka enthusiastically read and discussed with his friends, see the </w:t>
      </w:r>
      <w:r>
        <w:rPr>
          <w:i/>
        </w:rPr>
        <w:t>Index</w:t>
      </w:r>
      <w:r>
        <w:rPr/>
        <w:t xml:space="preserve"> of Reiner Stach’s multi-volume Kafka biography):</w:t>
      </w:r>
    </w:p>
    <w:p>
      <w:pPr>
        <w:pStyle w:val="MDPI31text"/>
        <w:rPr/>
      </w:pPr>
      <w:r>
        <w:rPr/>
      </w:r>
    </w:p>
    <w:p>
      <w:pPr>
        <w:pStyle w:val="MDPI31text"/>
        <w:ind w:left="720" w:right="720" w:hanging="0"/>
        <w:rPr>
          <w:sz w:val="18"/>
          <w:szCs w:val="18"/>
        </w:rPr>
      </w:pPr>
      <w:r>
        <w:rPr>
          <w:sz w:val="18"/>
          <w:szCs w:val="18"/>
        </w:rPr>
        <w:t xml:space="preserve">Before your eyes the object vanishes, the reasons evaporate, the culprit is not to be found, the offence becomes not an offence but a </w:t>
      </w:r>
      <w:r>
        <w:rPr>
          <w:i/>
          <w:sz w:val="18"/>
          <w:szCs w:val="18"/>
        </w:rPr>
        <w:t>fatum</w:t>
      </w:r>
      <w:r>
        <w:rPr>
          <w:sz w:val="18"/>
          <w:szCs w:val="18"/>
        </w:rPr>
        <w:t>, something like a toothache, for which no one is to blame … you haven’t found the primary cause. (Dostoyevsky, 2004, 18)</w:t>
      </w:r>
      <w:r>
        <w:rPr>
          <w:rStyle w:val="FootnoteAnchor"/>
          <w:sz w:val="18"/>
          <w:szCs w:val="18"/>
        </w:rPr>
        <w:footnoteReference w:id="3"/>
      </w:r>
    </w:p>
    <w:p>
      <w:pPr>
        <w:pStyle w:val="MDPI31text"/>
        <w:rPr/>
      </w:pPr>
      <w:r>
        <w:rPr/>
      </w:r>
    </w:p>
    <w:p>
      <w:pPr>
        <w:pStyle w:val="MDPI31text"/>
        <w:rPr/>
      </w:pPr>
      <w:r>
        <w:rPr/>
        <w:t xml:space="preserve">Transitivity gives way to intransitivity. Objects vanish, as in Martin Heidegger’s fundamental ontology hermeneutics becomes operative on ‘being’ without a text to serve as an object for the hermeneutics. Kafka expresses this idea in literature by recording no particular work to do for the officials in </w:t>
      </w:r>
      <w:r>
        <w:rPr>
          <w:i/>
        </w:rPr>
        <w:t>The Castle</w:t>
      </w:r>
      <w:r>
        <w:rPr/>
        <w:t xml:space="preserve"> and no object for Joseph K.’s guilt in </w:t>
      </w:r>
      <w:r>
        <w:rPr>
          <w:i/>
        </w:rPr>
        <w:t>The Trial</w:t>
      </w:r>
      <w:r>
        <w:rPr/>
        <w:t xml:space="preserve">. There is also no sovereign chooser of moral value as there is in existentialism. Perpetrator-subjects vanish in favour of bureaucratic concealment, as in Foucault’s modern penal system. Again, Kafka reflects this in </w:t>
      </w:r>
      <w:r>
        <w:rPr>
          <w:i/>
        </w:rPr>
        <w:t>The Castle</w:t>
      </w:r>
      <w:r>
        <w:rPr/>
        <w:t xml:space="preserve"> and </w:t>
      </w:r>
      <w:r>
        <w:rPr>
          <w:i/>
        </w:rPr>
        <w:t>The Trial</w:t>
      </w:r>
      <w:r>
        <w:rPr/>
        <w:t>. Finally, moral responsibility is problematized because there is for it no epistemological access to what the relevant causal relationships are: “no one is to blame … you haven’t found the primary cause.”</w:t>
      </w:r>
    </w:p>
    <w:p>
      <w:pPr>
        <w:pStyle w:val="MDPI31text"/>
        <w:rPr/>
      </w:pPr>
      <w:r>
        <w:rPr/>
        <w:t xml:space="preserve">In Kafka’s </w:t>
      </w:r>
      <w:r>
        <w:rPr>
          <w:i/>
        </w:rPr>
        <w:t>Metamorphosis</w:t>
      </w:r>
      <w:r>
        <w:rPr/>
        <w:t xml:space="preserve">, Gregor “suffers in person from [the] evil consequences [of his employment], which he can no longer trace back to the original causes” (Kafka, 1995, 83). In </w:t>
      </w:r>
      <w:r>
        <w:rPr>
          <w:i/>
        </w:rPr>
        <w:t>The Castle</w:t>
      </w:r>
      <w:r>
        <w:rPr/>
        <w:t>, K., “in order to obtain pardon, first had to establish guilt, and that’s precisely what they denied him at the offices” (Kafka, 1998, 214). In the short story “On the Tram,” Kafka gives expression to the epistemological crisis that precipitates a moral crisis:</w:t>
      </w:r>
    </w:p>
    <w:p>
      <w:pPr>
        <w:pStyle w:val="MDPI31text"/>
        <w:rPr/>
      </w:pPr>
      <w:r>
        <w:rPr/>
      </w:r>
    </w:p>
    <w:p>
      <w:pPr>
        <w:pStyle w:val="MDPI31text"/>
        <w:ind w:left="720" w:right="720" w:hanging="0"/>
        <w:rPr>
          <w:sz w:val="18"/>
          <w:szCs w:val="18"/>
        </w:rPr>
      </w:pPr>
      <w:r>
        <w:rPr>
          <w:sz w:val="18"/>
          <w:szCs w:val="18"/>
        </w:rPr>
        <w:t>I stand on the end platform of the tram and am completely unsure of my footing in this world, in this town, in my family. Not even casually could I indicate any claims that I might rightly advance in any direction. I have not even any defence to offer for standing on this platform, holding on to this strap, letting myself be carried along by this tram, nor for the people who give way to the tram or walk quietly along or stand gazing into shop windows. Nobody asks me to put up a defence, indeed, but that is irrelevant.</w:t>
      </w:r>
    </w:p>
    <w:p>
      <w:pPr>
        <w:pStyle w:val="MDPI31text"/>
        <w:rPr/>
      </w:pPr>
      <w:r>
        <w:rPr/>
      </w:r>
    </w:p>
    <w:p>
      <w:pPr>
        <w:pStyle w:val="MDPI31text"/>
        <w:ind w:hanging="0"/>
        <w:rPr/>
      </w:pPr>
      <w:r>
        <w:rPr/>
        <w:t>In another short story called “Resolutions,” Kafka concludes:</w:t>
      </w:r>
    </w:p>
    <w:p>
      <w:pPr>
        <w:pStyle w:val="MDPI31text"/>
        <w:rPr/>
      </w:pPr>
      <w:r>
        <w:rPr/>
      </w:r>
    </w:p>
    <w:p>
      <w:pPr>
        <w:pStyle w:val="MDPI31text"/>
        <w:ind w:left="720" w:right="720" w:hanging="0"/>
        <w:rPr>
          <w:sz w:val="18"/>
          <w:szCs w:val="18"/>
        </w:rPr>
      </w:pPr>
      <w:r>
        <w:rPr>
          <w:sz w:val="18"/>
          <w:szCs w:val="18"/>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pPr>
        <w:pStyle w:val="MDPI21heading1"/>
        <w:rPr/>
      </w:pPr>
      <w:r>
        <w:rPr/>
        <w:t>6. Conclusion</w:t>
      </w:r>
    </w:p>
    <w:p>
      <w:pPr>
        <w:pStyle w:val="MDPI31text"/>
        <w:rPr/>
      </w:pPr>
      <w:r>
        <w:rPr/>
        <w:t>Moral decisions that human beings make in relationship with each other are comparable to the decisions a driver has to make when steering a fast vehicle without brakes in the fog. Kafka is not a nihilist—decisions matter. The driver in the fog makes consequential decisions, but the driver does not have enough information to make these decisions so that they become appropriate objects of moral evaluation.</w:t>
      </w:r>
    </w:p>
    <w:p>
      <w:pPr>
        <w:pStyle w:val="MDPI31text"/>
        <w:rPr/>
      </w:pPr>
      <w:r>
        <w:rPr/>
        <w:t>Kafka had particular philosophical ideas which he used to give shape to the literature that he created. He was skeptical about accounts of moral responsibility produced by the enlightenment, such as Kant’s critique of practical reason or J.S. Mill’s utilitarianism,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behaviour is morally motivated and how these motivations interact with institutions, interests of power, the economy, contingencies of culture, and the management of bodies.</w:t>
      </w:r>
    </w:p>
    <w:p>
      <w:pPr>
        <w:pStyle w:val="MDPI31text"/>
        <w:rPr/>
      </w:pPr>
      <w:r>
        <w:rPr/>
        <w:t xml:space="preserve">For Strawson, one way in which philosophers (both optimists and pessimists) have erred is that they have subordinated prescriptive moral theory to a particular type of description, the metaphysical theory of determinism. On the one hand, if Strawson is correct and it is in principle not possible to undermine fundamental moral commitments by high-level descriptions, then Kafka’s and Foucault’s project has failed. On the other hand, if Kafka and Foucault succeed in providing a persuasive account (the one a literary account, the other a philosophical account) describing just the kind of human isolation and moral alienation that Strawson considers inconceivable, then a weakness in Strawson’s argument is revealed. </w:t>
      </w:r>
    </w:p>
    <w:p>
      <w:pPr>
        <w:pStyle w:val="MDPI31text"/>
        <w:rPr/>
      </w:pPr>
      <w:r>
        <w:rPr/>
      </w:r>
    </w:p>
    <w:p>
      <w:pPr>
        <w:pStyle w:val="MDPI62Acknowledgments"/>
        <w:rPr>
          <w:b/>
          <w:b/>
        </w:rPr>
      </w:pPr>
      <w:r>
        <w:rPr>
          <w:b/>
        </w:rPr>
        <w:t>Acknowledgments:</w:t>
      </w:r>
      <w:r>
        <w:rPr/>
        <w:t xml:space="preserve"> This research was supported by the Social Sciences and Humanities Research Council of Canada.</w:t>
      </w:r>
    </w:p>
    <w:p>
      <w:pPr>
        <w:pStyle w:val="MDPI64CoI"/>
        <w:rPr/>
      </w:pPr>
      <w:r>
        <w:rPr>
          <w:b/>
        </w:rPr>
        <w:t>Conflicts of Interest:</w:t>
      </w:r>
      <w:r>
        <w:rPr/>
        <w:t xml:space="preserve"> The author declares no conflict of interest.</w:t>
      </w:r>
    </w:p>
    <w:p>
      <w:pPr>
        <w:pStyle w:val="MDPI21heading1"/>
        <w:rPr/>
      </w:pPr>
      <w:r>
        <w:rPr/>
      </w:r>
    </w:p>
    <w:p>
      <w:pPr>
        <w:pStyle w:val="Normal"/>
        <w:spacing w:lineRule="auto" w:line="240"/>
        <w:jc w:val="left"/>
        <w:rPr>
          <w:rFonts w:ascii="Palatino Linotype" w:hAnsi="Palatino Linotype"/>
          <w:b/>
          <w:b/>
          <w:sz w:val="20"/>
          <w:szCs w:val="22"/>
          <w:lang w:bidi="en-US"/>
        </w:rPr>
      </w:pPr>
      <w:r>
        <w:rPr>
          <w:rFonts w:ascii="Palatino Linotype" w:hAnsi="Palatino Linotype"/>
          <w:b/>
          <w:sz w:val="20"/>
          <w:szCs w:val="22"/>
          <w:lang w:bidi="en-US"/>
        </w:rPr>
      </w:r>
      <w:r>
        <w:br w:type="page"/>
      </w:r>
    </w:p>
    <w:p>
      <w:pPr>
        <w:pStyle w:val="MDPI21heading1"/>
        <w:rPr/>
      </w:pPr>
      <w:r>
        <w:rPr/>
        <w:t>References</w:t>
      </w:r>
    </w:p>
    <w:p>
      <w:pPr>
        <w:pStyle w:val="MDPI64CoI"/>
        <w:rPr/>
      </w:pPr>
      <w:r>
        <w:rPr/>
      </w:r>
    </w:p>
    <w:p>
      <w:pPr>
        <w:pStyle w:val="MDPI64CoI"/>
        <w:rPr/>
      </w:pPr>
      <w:r>
        <w:rPr/>
        <w:t xml:space="preserve">Auden, W.H. </w:t>
      </w:r>
      <w:r>
        <w:rPr>
          <w:i/>
        </w:rPr>
        <w:t>The Dyer’s Hand and Other Essays</w:t>
      </w:r>
      <w:r>
        <w:rPr/>
        <w:t>. New York, NY: Vintage Books, 1962.</w:t>
      </w:r>
    </w:p>
    <w:p>
      <w:pPr>
        <w:pStyle w:val="MDPI64CoI"/>
        <w:rPr/>
      </w:pPr>
      <w:r>
        <w:rPr/>
        <w:t xml:space="preserve">Bennett, Jonathan. “Accountability.” In </w:t>
      </w:r>
      <w:r>
        <w:rPr>
          <w:i/>
        </w:rPr>
        <w:t>Philosophical Subjects</w:t>
      </w:r>
      <w:r>
        <w:rPr/>
        <w:t>, edited by Zak van Straaten, Oxford UK: Clarendon, 1980.</w:t>
      </w:r>
    </w:p>
    <w:p>
      <w:pPr>
        <w:pStyle w:val="MDPI64CoI"/>
        <w:rPr/>
      </w:pPr>
      <w:r>
        <w:rPr/>
        <w:t xml:space="preserve">Blanchot, Maurice. </w:t>
      </w:r>
      <w:r>
        <w:rPr>
          <w:i/>
        </w:rPr>
        <w:t>The Work of Fire</w:t>
      </w:r>
      <w:r>
        <w:rPr/>
        <w:t>. Stanford, CA: Stanford University, 1995.</w:t>
      </w:r>
    </w:p>
    <w:p>
      <w:pPr>
        <w:pStyle w:val="MDPI64CoI"/>
        <w:rPr/>
      </w:pPr>
      <w:r>
        <w:rPr/>
        <w:t xml:space="preserve">Brosnan, Kevin. "Do the Evolutionary Origins of Our Moral Beliefs Undermine Moral Knowledge?" </w:t>
      </w:r>
      <w:r>
        <w:rPr>
          <w:i/>
        </w:rPr>
        <w:t>Biology &amp; Philosophy</w:t>
      </w:r>
      <w:r>
        <w:rPr/>
        <w:t xml:space="preserve"> 26, 1: (2011) 51–64.</w:t>
      </w:r>
    </w:p>
    <w:p>
      <w:pPr>
        <w:pStyle w:val="MDPI64CoI"/>
        <w:rPr/>
      </w:pPr>
      <w:r>
        <w:rPr/>
        <w:t xml:space="preserve">Buber, Martin. “Guilt and Guilt Feelings.” In </w:t>
      </w:r>
      <w:r>
        <w:rPr>
          <w:i/>
        </w:rPr>
        <w:t>Martin Buber on Psychology and Psychotherapy</w:t>
      </w:r>
      <w:r>
        <w:rPr/>
        <w:t>, edited by Judith Buber Agassi, New York, NY: Syracuse University, 1960, 129–138.</w:t>
      </w:r>
    </w:p>
    <w:p>
      <w:pPr>
        <w:pStyle w:val="MDPI64CoI"/>
        <w:rPr/>
      </w:pPr>
      <w:r>
        <w:rPr/>
        <w:t xml:space="preserve">Churchland, Patricia. “Moral Decision-Making and the Brain.” In: </w:t>
      </w:r>
      <w:r>
        <w:rPr>
          <w:i/>
        </w:rPr>
        <w:t>Neuroethics. Defining the Issues in Theory, Practice, and Policy</w:t>
      </w:r>
      <w:r>
        <w:rPr/>
        <w:t>, edited by Judy Illes, 2006, 3–16.</w:t>
      </w:r>
    </w:p>
    <w:p>
      <w:pPr>
        <w:pStyle w:val="MDPI64CoI"/>
        <w:rPr/>
      </w:pPr>
      <w:r>
        <w:rPr/>
        <w:t xml:space="preserve">Dostoyevsky, Fyodor. </w:t>
      </w:r>
      <w:r>
        <w:rPr>
          <w:i/>
        </w:rPr>
        <w:t>Notes from the Underground</w:t>
      </w:r>
      <w:r>
        <w:rPr/>
        <w:t>. Ewing, NJ: Princeton University, 2004.</w:t>
      </w:r>
    </w:p>
    <w:p>
      <w:pPr>
        <w:pStyle w:val="MDPI64CoI"/>
        <w:rPr/>
      </w:pPr>
      <w:r>
        <w:rPr/>
        <w:t xml:space="preserve">Foucault, Michel. “Nietzsche, Genealogy, History.” In </w:t>
      </w:r>
      <w:r>
        <w:rPr>
          <w:i/>
        </w:rPr>
        <w:t>Language, Counter-Memory, Practice</w:t>
      </w:r>
      <w:r>
        <w:rPr/>
        <w:t>, edited by D.F. Bouchard, Ithaca, NY: Cornell University, 1977, 139–165.</w:t>
      </w:r>
    </w:p>
    <w:p>
      <w:pPr>
        <w:pStyle w:val="MDPI64CoI"/>
        <w:rPr/>
      </w:pPr>
      <w:r>
        <w:rPr/>
        <w:t xml:space="preserve">Harris, Sam. </w:t>
      </w:r>
      <w:r>
        <w:rPr>
          <w:i/>
        </w:rPr>
        <w:t xml:space="preserve">The Moral Landscape: How Science Can Determine Human Values. </w:t>
      </w:r>
      <w:r>
        <w:rPr/>
        <w:t>New York, NY: Free Press, 2011.</w:t>
      </w:r>
    </w:p>
    <w:p>
      <w:pPr>
        <w:pStyle w:val="MDPI64CoI"/>
        <w:rPr/>
      </w:pPr>
      <w:r>
        <w:rPr/>
        <w:t xml:space="preserve">Kafka, Franz. </w:t>
      </w:r>
      <w:r>
        <w:rPr>
          <w:i/>
        </w:rPr>
        <w:t>Letter to His Father</w:t>
      </w:r>
      <w:r>
        <w:rPr/>
        <w:t>. New York, NY: Schocken Books, 1966.</w:t>
      </w:r>
    </w:p>
    <w:p>
      <w:pPr>
        <w:pStyle w:val="MDPI64CoI"/>
        <w:rPr/>
      </w:pPr>
      <w:r>
        <w:rPr/>
        <w:t xml:space="preserve">Kafka, Franz. </w:t>
      </w:r>
      <w:r>
        <w:rPr>
          <w:i/>
        </w:rPr>
        <w:t>The Metamorphosis, In the Penal Colony, and Other Stories</w:t>
      </w:r>
      <w:r>
        <w:rPr/>
        <w:t>. New York, NY: Schocken Books, 1995.</w:t>
      </w:r>
    </w:p>
    <w:p>
      <w:pPr>
        <w:pStyle w:val="MDPI64CoI"/>
        <w:rPr/>
      </w:pPr>
      <w:r>
        <w:rPr/>
        <w:t xml:space="preserve">Kafka, Franz. </w:t>
      </w:r>
      <w:r>
        <w:rPr>
          <w:i/>
        </w:rPr>
        <w:t>The Castle</w:t>
      </w:r>
      <w:r>
        <w:rPr/>
        <w:t>. New York, NY: Schocken Books, 1998.</w:t>
      </w:r>
    </w:p>
    <w:p>
      <w:pPr>
        <w:pStyle w:val="MDPI64CoI"/>
        <w:rPr/>
      </w:pPr>
      <w:r>
        <w:rPr/>
        <w:t xml:space="preserve">Kahane, Guy. “Evolutionary Debunking Arguments.” </w:t>
      </w:r>
      <w:r>
        <w:rPr>
          <w:i/>
        </w:rPr>
        <w:t>Noûs</w:t>
      </w:r>
      <w:r>
        <w:rPr/>
        <w:t xml:space="preserve"> 45, 1: (2011) 103–125.</w:t>
      </w:r>
    </w:p>
    <w:p>
      <w:pPr>
        <w:pStyle w:val="MDPI64CoI"/>
        <w:rPr/>
      </w:pPr>
      <w:r>
        <w:rPr/>
        <w:t>Katsafanas, Paul. “Nietzsche’s Philosophical Psychology.” 2013. Unpublished.</w:t>
      </w:r>
    </w:p>
    <w:p>
      <w:pPr>
        <w:pStyle w:val="MDPI64CoI"/>
        <w:rPr/>
      </w:pPr>
      <w:r>
        <w:rPr/>
        <w:t xml:space="preserve">Leiter, Brian. “The Paradox of Fatalism and Self-Creation in Nietzsche.” In: </w:t>
      </w:r>
      <w:r>
        <w:rPr>
          <w:i/>
        </w:rPr>
        <w:t>Willing and Nothingness: Schopenhauer as Nietzsche's Educator</w:t>
      </w:r>
      <w:r>
        <w:rPr/>
        <w:t>, edited by Christopher Janaway, (1998) 217–257.</w:t>
      </w:r>
    </w:p>
    <w:p>
      <w:pPr>
        <w:pStyle w:val="MDPI64CoI"/>
        <w:rPr/>
      </w:pPr>
      <w:r>
        <w:rPr/>
        <w:t xml:space="preserve">MacIntyre, Alasdair. </w:t>
      </w:r>
      <w:r>
        <w:rPr>
          <w:i/>
        </w:rPr>
        <w:t>The Tasks of Philosophy.</w:t>
      </w:r>
      <w:r>
        <w:rPr/>
        <w:t xml:space="preserve"> New York, NY: Cambridge University, 2006.</w:t>
      </w:r>
    </w:p>
    <w:p>
      <w:pPr>
        <w:pStyle w:val="MDPI64CoI"/>
        <w:rPr/>
      </w:pPr>
      <w:r>
        <w:rPr/>
        <w:t xml:space="preserve">Magny, Claude-Edmonde. </w:t>
      </w:r>
      <w:r>
        <w:rPr>
          <w:i/>
        </w:rPr>
        <w:t>Les Sandales d’Empédocle</w:t>
      </w:r>
      <w:r>
        <w:rPr/>
        <w:t>. Neuchatel: Éditions de la Baconnière, 1945.</w:t>
      </w:r>
    </w:p>
    <w:p>
      <w:pPr>
        <w:pStyle w:val="MDPI64CoI"/>
        <w:rPr/>
      </w:pPr>
      <w:r>
        <w:rPr/>
        <w:t xml:space="preserve">Russell, Paul. “Strawson’s Way of Naturalizing Responsibility.” </w:t>
      </w:r>
      <w:r>
        <w:rPr>
          <w:i/>
        </w:rPr>
        <w:t>Ethics</w:t>
      </w:r>
      <w:r>
        <w:rPr/>
        <w:t xml:space="preserve"> 102, 2: (1992) 287–302.</w:t>
      </w:r>
    </w:p>
    <w:p>
      <w:pPr>
        <w:pStyle w:val="MDPI64CoI"/>
        <w:rPr/>
      </w:pPr>
      <w:r>
        <w:rPr/>
        <w:t xml:space="preserve">Moritz Schlick. </w:t>
      </w:r>
      <w:r>
        <w:rPr>
          <w:i/>
          <w:iCs/>
        </w:rPr>
        <w:t xml:space="preserve">Problems of Ethics. </w:t>
      </w:r>
      <w:r>
        <w:rPr>
          <w:i w:val="false"/>
          <w:iCs w:val="false"/>
        </w:rPr>
        <w:t>New York, NY: Prentice-Hall, 1939.</w:t>
      </w:r>
    </w:p>
    <w:p>
      <w:pPr>
        <w:pStyle w:val="MDPI64CoI"/>
        <w:rPr/>
      </w:pPr>
      <w:r>
        <w:rPr/>
        <w:t xml:space="preserve">Stach, Reiner. </w:t>
      </w:r>
      <w:r>
        <w:rPr>
          <w:i/>
        </w:rPr>
        <w:t xml:space="preserve">Kafka: The Early Years. </w:t>
      </w:r>
      <w:r>
        <w:rPr/>
        <w:t>Princeton, NJ: Princeton, 2016.</w:t>
      </w:r>
    </w:p>
    <w:p>
      <w:pPr>
        <w:pStyle w:val="MDPI64CoI"/>
        <w:rPr/>
      </w:pPr>
      <w:r>
        <w:rPr/>
        <w:t xml:space="preserve">Stach, Reiner. </w:t>
      </w:r>
      <w:r>
        <w:rPr>
          <w:i/>
        </w:rPr>
        <w:t xml:space="preserve">Kafka: The Decisive Years. </w:t>
      </w:r>
      <w:r>
        <w:rPr/>
        <w:t>Princeton, NJ: Princeton, 2013.</w:t>
      </w:r>
    </w:p>
    <w:p>
      <w:pPr>
        <w:pStyle w:val="MDPI64CoI"/>
        <w:rPr/>
      </w:pPr>
      <w:r>
        <w:rPr/>
        <w:t xml:space="preserve">Stach, Reiner. </w:t>
      </w:r>
      <w:r>
        <w:rPr>
          <w:i/>
        </w:rPr>
        <w:t xml:space="preserve">Kafka: The Years of Insight. </w:t>
      </w:r>
      <w:r>
        <w:rPr/>
        <w:t xml:space="preserve">Princeton, NJ: Princeton, 2015.Strawson, P.F. </w:t>
      </w:r>
      <w:r>
        <w:rPr>
          <w:i/>
        </w:rPr>
        <w:t>Freedom and Resentment and Other Essays</w:t>
      </w:r>
      <w:r>
        <w:rPr/>
        <w:t>. London New York: Routledge, 2008.</w:t>
      </w:r>
    </w:p>
    <w:p>
      <w:pPr>
        <w:pStyle w:val="MDPI64CoI"/>
        <w:rPr/>
      </w:pPr>
      <w:r>
        <w:rPr/>
        <w:t xml:space="preserve">Wilkins, John S., and Paul E. Griffiths. “Evolutionary Debunking Arguments in Three Domains.” In: </w:t>
      </w:r>
      <w:r>
        <w:rPr>
          <w:i/>
        </w:rPr>
        <w:t>A New Science of Religion</w:t>
      </w:r>
      <w:r>
        <w:rPr/>
        <w:t xml:space="preserve"> 23: (2012) 133–145.</w:t>
      </w:r>
    </w:p>
    <w:p>
      <w:pPr>
        <w:pStyle w:val="MDPI64CoI"/>
        <w:rPr/>
      </w:pPr>
      <w:r>
        <w:rPr/>
        <w:t xml:space="preserve">Williams, Bernard. </w:t>
      </w:r>
      <w:r>
        <w:rPr>
          <w:i/>
        </w:rPr>
        <w:t>Truth and Truthfulness: An Essay in Genealogy</w:t>
      </w:r>
      <w:r>
        <w:rPr/>
        <w:t>. Ewing, NJ: Princeton University, 2004.</w:t>
      </w:r>
    </w:p>
    <w:p>
      <w:pPr>
        <w:pStyle w:val="MDPI64CoI"/>
        <w:rPr/>
      </w:pPr>
      <w:bookmarkStart w:id="6" w:name="biblio"/>
      <w:bookmarkEnd w:id="6"/>
      <w:r>
        <w:rPr/>
        <w:t xml:space="preserve">Williams, Bernard. </w:t>
      </w:r>
      <w:r>
        <w:rPr>
          <w:i/>
        </w:rPr>
        <w:t>Ethics and the Limits of Philosophy</w:t>
      </w:r>
      <w:r>
        <w:rPr/>
        <w:t>. Abingdon, GB: Routledge, 1985.</w:t>
      </w:r>
    </w:p>
    <w:p>
      <w:pPr>
        <w:pStyle w:val="MDPI64CoI"/>
        <w:rPr/>
      </w:pPr>
      <w:r>
        <w:rPr/>
        <w:t xml:space="preserve">Wilson, Edward O. </w:t>
      </w:r>
      <w:r>
        <w:rPr>
          <w:i/>
        </w:rPr>
        <w:t xml:space="preserve">Sociobiology: The New Synthesis. </w:t>
      </w:r>
      <w:r>
        <w:rPr/>
        <w:t>Cambridge, MA: Belknap, 2000.</w:t>
      </w:r>
    </w:p>
    <w:p>
      <w:pPr>
        <w:pStyle w:val="MDPI71References"/>
        <w:numPr>
          <w:ilvl w:val="0"/>
          <w:numId w:val="0"/>
        </w:numPr>
        <w:ind w:left="425" w:hanging="425"/>
        <w:rPr/>
      </w:pPr>
      <w:bookmarkStart w:id="7" w:name="OLE_LINK3"/>
      <w:bookmarkStart w:id="8" w:name="OLE_LINK3"/>
      <w:r>
        <w:rPr/>
      </w:r>
    </w:p>
    <w:p>
      <w:pPr>
        <w:pStyle w:val="Normal"/>
        <w:snapToGrid w:val="false"/>
        <w:spacing w:lineRule="atLeast" w:line="260" w:before="240" w:after="0"/>
        <w:jc w:val="left"/>
        <w:rPr/>
      </w:pPr>
      <w:r>
        <w:drawing>
          <wp:anchor behindDoc="0" distT="0" distB="1905" distL="0" distR="123190" simplePos="0" locked="0" layoutInCell="1" allowOverlap="1" relativeHeight="3">
            <wp:simplePos x="0" y="0"/>
            <wp:positionH relativeFrom="margin">
              <wp:align>left</wp:align>
            </wp:positionH>
            <wp:positionV relativeFrom="paragraph">
              <wp:posOffset>206375</wp:posOffset>
            </wp:positionV>
            <wp:extent cx="1000760" cy="360045"/>
            <wp:effectExtent l="0" t="0" r="0" b="0"/>
            <wp:wrapTight wrapText="bothSides">
              <wp:wrapPolygon edited="0">
                <wp:start x="-76" y="0"/>
                <wp:lineTo x="-76" y="20490"/>
                <wp:lineTo x="21373" y="20490"/>
                <wp:lineTo x="21373" y="0"/>
                <wp:lineTo x="-76" y="0"/>
              </wp:wrapPolygon>
            </wp:wrapTight>
            <wp:docPr id="1"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H:\documents\layout\new template June 2014\figures\CC-BY logo original v1.wmf"/>
                    <pic:cNvPicPr>
                      <a:picLocks noChangeAspect="1" noChangeArrowheads="1"/>
                    </pic:cNvPicPr>
                  </pic:nvPicPr>
                  <pic:blipFill>
                    <a:blip r:embed="rId2"/>
                    <a:srcRect l="2528" t="0" r="1488" b="0"/>
                    <a:stretch>
                      <a:fillRect/>
                    </a:stretch>
                  </pic:blipFill>
                  <pic:spPr bwMode="auto">
                    <a:xfrm>
                      <a:off x="0" y="0"/>
                      <a:ext cx="1000760" cy="360045"/>
                    </a:xfrm>
                    <a:prstGeom prst="rect">
                      <a:avLst/>
                    </a:prstGeom>
                  </pic:spPr>
                </pic:pic>
              </a:graphicData>
            </a:graphic>
          </wp:anchor>
        </w:drawing>
      </w:r>
      <w:r>
        <w:rPr>
          <w:rFonts w:ascii="Palatino Linotype" w:hAnsi="Palatino Linotype"/>
          <w:sz w:val="18"/>
          <w:szCs w:val="18"/>
          <w:lang w:bidi="en-US"/>
        </w:rPr>
        <w:t>©</w:t>
      </w:r>
      <w:bookmarkEnd w:id="8"/>
      <w:r>
        <w:rPr>
          <w:rFonts w:ascii="Palatino Linotype" w:hAnsi="Palatino Linotype"/>
          <w:sz w:val="18"/>
          <w:szCs w:val="18"/>
          <w:lang w:bidi="en-US"/>
        </w:rPr>
        <w:t xml:space="preserve"> 2018 by the authors. Submitted for possible open access publication under the </w:t>
        <w:br/>
        <w:t>terms and conditions of the Creative Commons Attribution (CC BY) license (http://creativecommons.org/licenses/by/4.0/).</w:t>
      </w:r>
    </w:p>
    <w:p>
      <w:pPr>
        <w:sectPr>
          <w:headerReference w:type="default" r:id="rId3"/>
          <w:headerReference w:type="first" r:id="rId4"/>
          <w:footerReference w:type="default" r:id="rId5"/>
          <w:footerReference w:type="first" r:id="rId6"/>
          <w:footnotePr>
            <w:numFmt w:val="decimal"/>
          </w:footnotePr>
          <w:type w:val="nextPage"/>
          <w:pgSz w:w="11906" w:h="16838"/>
          <w:pgMar w:left="1531" w:right="1531" w:header="1020" w:top="1417" w:footer="850" w:bottom="1077" w:gutter="0"/>
          <w:lnNumType w:countBy="1" w:restart="continuous"/>
          <w:pgNumType w:fmt="decimal"/>
          <w:formProt w:val="false"/>
          <w:titlePg/>
          <w:textDirection w:val="lrTb"/>
          <w:docGrid w:type="default" w:linePitch="312" w:charSpace="4294961151"/>
        </w:sectPr>
      </w:pPr>
    </w:p>
    <w:sectPr>
      <w:footnotePr>
        <w:numFmt w:val="decimal"/>
      </w:footnotePr>
      <w:type w:val="continuous"/>
      <w:pgSz w:w="11906" w:h="16838"/>
      <w:pgMar w:left="1531" w:right="1531" w:header="1020" w:top="1417" w:footer="850" w:bottom="1077" w:gutter="0"/>
      <w:lnNumType w:countBy="1" w:restart="continuous"/>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Palatino Linotype">
    <w:charset w:val="01"/>
    <w:family w:val="roman"/>
    <w:pitch w:val="variable"/>
  </w:font>
  <w:font w:name="Mini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8844" w:leader="none"/>
      </w:tabs>
      <w:snapToGrid w:val="false"/>
      <w:spacing w:lineRule="auto" w:line="240" w:before="120" w:after="0"/>
      <w:rPr>
        <w:rFonts w:ascii="Palatino Linotype" w:hAnsi="Palatino Linotype"/>
        <w:sz w:val="16"/>
        <w:szCs w:val="16"/>
        <w:lang w:val="fr-CH"/>
      </w:rPr>
    </w:pPr>
    <w:r>
      <w:rPr>
        <w:rFonts w:ascii="Palatino Linotype" w:hAnsi="Palatino Linotype"/>
        <w:i/>
        <w:sz w:val="16"/>
        <w:szCs w:val="16"/>
      </w:rPr>
      <w:t xml:space="preserve">Humanities </w:t>
    </w:r>
    <w:r>
      <w:rPr>
        <w:rFonts w:ascii="Palatino Linotype" w:hAnsi="Palatino Linotype"/>
        <w:b/>
        <w:bCs/>
        <w:iCs/>
        <w:sz w:val="16"/>
        <w:szCs w:val="16"/>
      </w:rPr>
      <w:t>2018</w:t>
    </w:r>
    <w:r>
      <w:rPr>
        <w:rFonts w:ascii="Palatino Linotype" w:hAnsi="Palatino Linotype"/>
        <w:iCs/>
        <w:sz w:val="16"/>
        <w:szCs w:val="16"/>
      </w:rPr>
      <w:t xml:space="preserve">, </w:t>
    </w:r>
    <w:r>
      <w:rPr>
        <w:rFonts w:eastAsia="SimSun" w:ascii="Palatino Linotype" w:hAnsi="Palatino Linotype"/>
        <w:i/>
        <w:iCs/>
        <w:sz w:val="16"/>
        <w:szCs w:val="16"/>
        <w:lang w:eastAsia="zh-CN"/>
      </w:rPr>
      <w:t>7</w:t>
    </w:r>
    <w:r>
      <w:rPr>
        <w:rFonts w:ascii="Palatino Linotype" w:hAnsi="Palatino Linotype"/>
        <w:iCs/>
        <w:sz w:val="16"/>
        <w:szCs w:val="16"/>
      </w:rPr>
      <w:t>,</w:t>
    </w:r>
    <w:r>
      <w:rPr>
        <w:rFonts w:eastAsia="SimSun" w:ascii="Palatino Linotype" w:hAnsi="Palatino Linotype"/>
        <w:sz w:val="16"/>
        <w:szCs w:val="16"/>
        <w:lang w:eastAsia="zh-CN"/>
      </w:rPr>
      <w:t xml:space="preserve"> </w:t>
    </w:r>
    <w:r>
      <w:rPr>
        <w:rFonts w:ascii="Palatino Linotype" w:hAnsi="Palatino Linotype"/>
        <w:sz w:val="16"/>
        <w:szCs w:val="16"/>
      </w:rPr>
      <w:t>x</w:t>
    </w:r>
    <w:r>
      <w:rPr>
        <w:rFonts w:ascii="Palatino Linotype" w:hAnsi="Palatino Linotype"/>
        <w:sz w:val="16"/>
        <w:szCs w:val="16"/>
        <w:lang w:val="fr-CH"/>
      </w:rPr>
      <w:t>; doi:</w:t>
    </w:r>
    <w:r>
      <w:rPr>
        <w:rFonts w:eastAsia="SimSun" w:ascii="Palatino Linotype" w:hAnsi="Palatino Linotype"/>
        <w:sz w:val="16"/>
        <w:szCs w:val="16"/>
        <w:lang w:eastAsia="zh-CN"/>
      </w:rPr>
      <w:t xml:space="preserve"> FOR PEER REVIEW </w:t>
    </w:r>
    <w:r>
      <w:rPr>
        <w:rFonts w:ascii="Palatino Linotype" w:hAnsi="Palatino Linotype"/>
        <w:sz w:val="16"/>
        <w:szCs w:val="16"/>
        <w:lang w:val="fr-CH"/>
      </w:rPr>
      <w:tab/>
      <w:t>www.mdpi.com/journal/</w:t>
    </w:r>
    <w:r>
      <w:rPr>
        <w:rFonts w:ascii="Palatino Linotype" w:hAnsi="Palatino Linotype"/>
        <w:sz w:val="16"/>
        <w:szCs w:val="16"/>
      </w:rPr>
      <w:t>humanities</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lineRule="auto" w:line="240"/>
        <w:rPr/>
      </w:pPr>
      <w:r>
        <w:rPr>
          <w:rStyle w:val="Footnotereference"/>
        </w:rPr>
        <w:footnoteRef/>
        <w:tab/>
      </w:r>
      <w:r>
        <w:rPr/>
        <w:t xml:space="preserve"> </w:t>
      </w:r>
      <w:r>
        <w:rPr>
          <w:sz w:val="18"/>
          <w:szCs w:val="18"/>
        </w:rPr>
        <w:t>The translation of the quote is from Blanchot, 1995, 2; the original quote is “on peut trouver dans l’oeuvre de Kafka une théorie de la responsabilité, des vues sur la causalités, enfin une interprétation d’ensemble de la destinée humaine, suffisamment cohérentes toutes trois et assez indépendantes de leur forme romanesque pour supporter d’être transposées en termes purement intellectuels” (see Magny, 1945).</w:t>
      </w:r>
    </w:p>
  </w:footnote>
  <w:footnote w:id="3">
    <w:p>
      <w:pPr>
        <w:pStyle w:val="Footnotetext"/>
        <w:spacing w:lineRule="auto" w:line="240"/>
        <w:rPr/>
      </w:pPr>
      <w:r>
        <w:rPr>
          <w:rStyle w:val="Footnotereference"/>
        </w:rPr>
        <w:footnoteRef/>
        <w:tab/>
      </w:r>
      <w:r>
        <w:rPr/>
        <w:t xml:space="preserve"> </w:t>
      </w:r>
      <w:r>
        <w:rPr>
          <w:sz w:val="18"/>
          <w:szCs w:val="18"/>
        </w:rPr>
        <w:t xml:space="preserve">Compare also Émile Zola’s character La Maheude in </w:t>
      </w:r>
      <w:r>
        <w:rPr>
          <w:i/>
          <w:sz w:val="18"/>
          <w:szCs w:val="18"/>
        </w:rPr>
        <w:t>Germinal</w:t>
      </w:r>
      <w:r>
        <w:rPr>
          <w:sz w:val="18"/>
          <w:szCs w:val="18"/>
        </w:rPr>
        <w:t xml:space="preserve"> exclaiming, “Mais on réfléchit, n’est-ce pas? On s’aperçoit qu’au bout du compte ce n’est la faute de personne … non, non, ce n’est pas ta faute, c’est la faute de tout le monde,” page 497; and Martin Heidegger’s dictum in </w:t>
      </w:r>
      <w:r>
        <w:rPr>
          <w:i/>
          <w:sz w:val="18"/>
          <w:szCs w:val="18"/>
        </w:rPr>
        <w:t>Sein und Zeit</w:t>
      </w:r>
      <w:r>
        <w:rPr>
          <w:sz w:val="18"/>
          <w:szCs w:val="18"/>
        </w:rPr>
        <w:t>, “In der Alltäglichkeit des Daseins wird das meiste durch das, von dem wir sagen müssen, keiner war es,” section 27. Both of these quotes unfold their meaning specifically in the context of modernity.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8844" w:leader="none"/>
      </w:tabs>
      <w:snapToGrid w:val="false"/>
      <w:spacing w:lineRule="auto" w:line="240" w:before="0" w:after="240"/>
      <w:rPr/>
    </w:pPr>
    <w:r>
      <w:rPr>
        <w:rFonts w:ascii="Palatino Linotype" w:hAnsi="Palatino Linotype"/>
        <w:i/>
        <w:sz w:val="16"/>
      </w:rPr>
      <w:t xml:space="preserve">Humanities </w:t>
    </w:r>
    <w:r>
      <w:rPr>
        <w:rFonts w:ascii="Palatino Linotype" w:hAnsi="Palatino Linotype"/>
        <w:b/>
        <w:sz w:val="16"/>
      </w:rPr>
      <w:t>2018</w:t>
    </w:r>
    <w:r>
      <w:rPr>
        <w:rFonts w:ascii="Palatino Linotype" w:hAnsi="Palatino Linotype"/>
        <w:sz w:val="16"/>
      </w:rPr>
      <w:t xml:space="preserve">, </w:t>
    </w:r>
    <w:r>
      <w:rPr>
        <w:rFonts w:ascii="Palatino Linotype" w:hAnsi="Palatino Linotype"/>
        <w:i/>
        <w:sz w:val="16"/>
      </w:rPr>
      <w:t>7</w:t>
    </w:r>
    <w:r>
      <w:rPr>
        <w:rFonts w:ascii="Palatino Linotype" w:hAnsi="Palatino Linotype"/>
        <w:sz w:val="16"/>
      </w:rPr>
      <w:t xml:space="preserve">, x FOR PEER REVIEW </w:t>
      <w:tab/>
    </w:r>
    <w:r>
      <w:rPr>
        <w:rFonts w:ascii="Palatino Linotype" w:hAnsi="Palatino Linotype"/>
        <w:sz w:val="16"/>
      </w:rPr>
      <w:fldChar w:fldCharType="begin"/>
    </w:r>
    <w:r>
      <w:instrText> PAGE </w:instrText>
    </w:r>
    <w:r>
      <w:fldChar w:fldCharType="separate"/>
    </w:r>
    <w:r>
      <w:t>15</w:t>
    </w:r>
    <w:r>
      <w:fldChar w:fldCharType="end"/>
    </w:r>
    <w:r>
      <w:rPr>
        <w:rFonts w:ascii="Palatino Linotype" w:hAnsi="Palatino Linotype"/>
        <w:sz w:val="16"/>
      </w:rPr>
      <w:t xml:space="preserve"> of </w:t>
    </w:r>
    <w:r>
      <w:rPr>
        <w:rFonts w:ascii="Palatino Linotype" w:hAnsi="Palatino Linotype"/>
        <w:sz w:val="16"/>
      </w:rPr>
      <w:fldChar w:fldCharType="begin"/>
    </w:r>
    <w:r>
      <w:instrText> NUMPAGES </w:instrText>
    </w:r>
    <w:r>
      <w:fldChar w:fldCharType="separate"/>
    </w:r>
    <w:r>
      <w:t>16</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DPIheaderjournallogo"/>
      <w:rPr/>
    </w:pPr>
    <w:r>
      <w:rPr/>
      <w:drawing>
        <wp:inline distT="0" distB="3810" distL="0" distR="0">
          <wp:extent cx="1661160" cy="434340"/>
          <wp:effectExtent l="0" t="0" r="0" b="0"/>
          <wp:docPr id="6" name="Image1"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Users\home\AppData\Local\Temp\HZ$D.082.3319\Humanities_logo.png"/>
                  <pic:cNvPicPr>
                    <a:picLocks noChangeAspect="1" noChangeArrowheads="1"/>
                  </pic:cNvPicPr>
                </pic:nvPicPr>
                <pic:blipFill>
                  <a:blip r:embed="rId2"/>
                  <a:stretch>
                    <a:fillRect/>
                  </a:stretch>
                </pic:blipFill>
                <pic:spPr bwMode="auto">
                  <a:xfrm>
                    <a:off x="0" y="0"/>
                    <a:ext cx="1661160" cy="434340"/>
                  </a:xfrm>
                  <a:prstGeom prst="rect">
                    <a:avLst/>
                  </a:prstGeom>
                </pic:spPr>
              </pic:pic>
            </a:graphicData>
          </a:graphic>
        </wp:inline>
      </w:drawing>
      <mc:AlternateContent>
        <mc:Choice Requires="wps">
          <w:drawing>
            <wp:anchor behindDoc="1" distT="45720" distB="45720" distL="114300" distR="114300" simplePos="0" locked="0" layoutInCell="1" allowOverlap="1" relativeHeight="2" wp14:anchorId="489286BC">
              <wp:simplePos x="0" y="0"/>
              <wp:positionH relativeFrom="page">
                <wp:posOffset>6029960</wp:posOffset>
              </wp:positionH>
              <wp:positionV relativeFrom="page">
                <wp:posOffset>647700</wp:posOffset>
              </wp:positionV>
              <wp:extent cx="541020" cy="709295"/>
              <wp:effectExtent l="0" t="0" r="2540" b="0"/>
              <wp:wrapNone/>
              <wp:docPr id="2" name="Text Box 2"/>
              <a:graphic xmlns:a="http://schemas.openxmlformats.org/drawingml/2006/main">
                <a:graphicData uri="http://schemas.microsoft.com/office/word/2010/wordprocessingShape">
                  <wps:wsp>
                    <wps:cNvSpPr/>
                    <wps:spPr>
                      <a:xfrm>
                        <a:off x="0" y="0"/>
                        <a:ext cx="540360" cy="708840"/>
                      </a:xfrm>
                      <a:prstGeom prst="rect">
                        <a:avLst/>
                      </a:prstGeom>
                      <a:solidFill>
                        <a:srgbClr val="ffffff"/>
                      </a:solidFill>
                      <a:ln w="9360">
                        <a:noFill/>
                      </a:ln>
                    </wps:spPr>
                    <wps:style>
                      <a:lnRef idx="0"/>
                      <a:fillRef idx="0"/>
                      <a:effectRef idx="0"/>
                      <a:fontRef idx="minor"/>
                    </wps:style>
                    <wps:txbx>
                      <w:txbxContent>
                        <w:p>
                          <w:pPr>
                            <w:pStyle w:val="MDPIheaderjournallogo"/>
                            <w:jc w:val="center"/>
                            <w:rPr>
                              <w:i w:val="false"/>
                              <w:i w:val="false"/>
                              <w:szCs w:val="16"/>
                            </w:rPr>
                          </w:pPr>
                          <w:r>
                            <w:rPr/>
                            <w:drawing>
                              <wp:inline distT="0" distB="3810" distL="0" distR="0">
                                <wp:extent cx="541020" cy="358140"/>
                                <wp:effectExtent l="0" t="0" r="0" b="0"/>
                                <wp:docPr id="4"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home\Desktop\logos\ori\png\logo-mdpi.png"/>
                                        <pic:cNvPicPr>
                                          <a:picLocks noChangeAspect="1" noChangeArrowheads="1"/>
                                        </pic:cNvPicPr>
                                      </pic:nvPicPr>
                                      <pic:blipFill>
                                        <a:blip r:embed="rId1"/>
                                        <a:stretch>
                                          <a:fillRect/>
                                        </a:stretch>
                                      </pic:blipFill>
                                      <pic:spPr bwMode="auto">
                                        <a:xfrm>
                                          <a:off x="0" y="0"/>
                                          <a:ext cx="541020" cy="35814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f" style="position:absolute;margin-left:474.8pt;margin-top:51pt;width:42.5pt;height:55.75pt;mso-position-horizontal-relative:page;mso-position-vertical-relative:page" wp14:anchorId="489286BC">
              <w10:wrap type="none"/>
              <v:fill o:detectmouseclick="t" type="solid" color2="black"/>
              <v:stroke color="#3465a4" weight="9360" joinstyle="miter" endcap="flat"/>
              <v:textbox>
                <w:txbxContent>
                  <w:p>
                    <w:pPr>
                      <w:pStyle w:val="MDPIheaderjournallogo"/>
                      <w:jc w:val="center"/>
                      <w:rPr>
                        <w:i w:val="false"/>
                        <w:i w:val="false"/>
                        <w:szCs w:val="16"/>
                      </w:rPr>
                    </w:pPr>
                    <w:r>
                      <w:rPr/>
                      <w:drawing>
                        <wp:inline distT="0" distB="3810" distL="0" distR="0">
                          <wp:extent cx="541020" cy="358140"/>
                          <wp:effectExtent l="0" t="0" r="0" b="0"/>
                          <wp:docPr id="5"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home\Desktop\logos\ori\png\logo-mdpi.png"/>
                                  <pic:cNvPicPr>
                                    <a:picLocks noChangeAspect="1" noChangeArrowheads="1"/>
                                  </pic:cNvPicPr>
                                </pic:nvPicPr>
                                <pic:blipFill>
                                  <a:blip r:embed="rId1"/>
                                  <a:stretch>
                                    <a:fillRect/>
                                  </a:stretch>
                                </pic:blipFill>
                                <pic:spPr bwMode="auto">
                                  <a:xfrm>
                                    <a:off x="0" y="0"/>
                                    <a:ext cx="541020" cy="358140"/>
                                  </a:xfrm>
                                  <a:prstGeom prst="rect">
                                    <a:avLst/>
                                  </a:prstGeom>
                                </pic:spPr>
                              </pic:pic>
                            </a:graphicData>
                          </a:graphic>
                        </wp:inline>
                      </w:drawing>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4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s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c71c5"/>
    <w:pPr>
      <w:widowControl/>
      <w:bidi w:val="0"/>
      <w:spacing w:lineRule="atLeast" w:line="340"/>
      <w:jc w:val="both"/>
    </w:pPr>
    <w:rPr>
      <w:rFonts w:eastAsia="Times New Roman" w:ascii="Times New Roman" w:hAnsi="Times New Roman" w:cs="Times New Roman"/>
      <w:color w:val="000000"/>
      <w:sz w:val="24"/>
      <w:szCs w:val="20"/>
      <w:lang w:eastAsia="de-DE" w:val="en-US" w:bidi="ar-SA"/>
    </w:rPr>
  </w:style>
  <w:style w:type="paragraph" w:styleId="Heading1">
    <w:name w:val="Heading 1"/>
    <w:basedOn w:val="Normal"/>
    <w:next w:val="Normal"/>
    <w:link w:val="Heading1Char"/>
    <w:qFormat/>
    <w:rsid w:val="00f87a76"/>
    <w:pPr>
      <w:spacing w:before="240" w:after="0"/>
      <w:outlineLvl w:val="0"/>
    </w:pPr>
    <w:rPr>
      <w:rFonts w:ascii="Arial" w:hAnsi="Arial"/>
      <w:b/>
      <w:u w:val="single"/>
    </w:rPr>
  </w:style>
  <w:style w:type="paragraph" w:styleId="Heading2">
    <w:name w:val="Heading 2"/>
    <w:basedOn w:val="Normal"/>
    <w:next w:val="Normal"/>
    <w:link w:val="Heading2Char"/>
    <w:qFormat/>
    <w:rsid w:val="00f87a76"/>
    <w:pPr>
      <w:spacing w:before="120" w:after="0"/>
      <w:outlineLvl w:val="1"/>
    </w:pPr>
    <w:rPr>
      <w:rFonts w:ascii="Arial" w:hAnsi="Arial"/>
      <w:b/>
    </w:rPr>
  </w:style>
  <w:style w:type="paragraph" w:styleId="Heading3">
    <w:name w:val="Heading 3"/>
    <w:basedOn w:val="Normal"/>
    <w:next w:val="Normal"/>
    <w:link w:val="Heading3Char"/>
    <w:qFormat/>
    <w:rsid w:val="00f87a76"/>
    <w:pPr>
      <w:ind w:left="360" w:hanging="0"/>
      <w:outlineLvl w:val="2"/>
    </w:pPr>
    <w:rPr>
      <w:b/>
    </w:rPr>
  </w:style>
  <w:style w:type="paragraph" w:styleId="Heading4">
    <w:name w:val="Heading 4"/>
    <w:basedOn w:val="Normal"/>
    <w:next w:val="Normal"/>
    <w:link w:val="Heading4Char"/>
    <w:qFormat/>
    <w:rsid w:val="00f87a76"/>
    <w:pPr>
      <w:keepNext/>
      <w:keepLines/>
      <w:spacing w:lineRule="atLeast" w:line="480" w:before="240" w:after="0"/>
      <w:ind w:left="907" w:hanging="907"/>
      <w:outlineLvl w:val="3"/>
    </w:pPr>
    <w:rPr>
      <w:rFonts w:ascii="Arial" w:hAnsi="Arial"/>
      <w:b/>
    </w:rPr>
  </w:style>
  <w:style w:type="paragraph" w:styleId="Heading5">
    <w:name w:val="Heading 5"/>
    <w:basedOn w:val="Normal"/>
    <w:next w:val="Normal"/>
    <w:link w:val="Heading5Char"/>
    <w:qFormat/>
    <w:rsid w:val="00f87a76"/>
    <w:pPr>
      <w:ind w:left="706" w:hanging="0"/>
      <w:outlineLvl w:val="4"/>
    </w:pPr>
    <w:rPr>
      <w:b/>
    </w:rPr>
  </w:style>
  <w:style w:type="paragraph" w:styleId="Heading6">
    <w:name w:val="Heading 6"/>
    <w:basedOn w:val="Normal"/>
    <w:next w:val="Normal"/>
    <w:link w:val="Heading6Char"/>
    <w:qFormat/>
    <w:rsid w:val="00f87a76"/>
    <w:pPr>
      <w:ind w:left="706" w:hanging="0"/>
      <w:outlineLvl w:val="5"/>
    </w:pPr>
    <w:rPr>
      <w:u w:val="single"/>
    </w:rPr>
  </w:style>
  <w:style w:type="paragraph" w:styleId="Heading7">
    <w:name w:val="Heading 7"/>
    <w:basedOn w:val="Normal"/>
    <w:next w:val="Normal"/>
    <w:link w:val="Heading7Char"/>
    <w:qFormat/>
    <w:rsid w:val="00f87a76"/>
    <w:pPr>
      <w:ind w:left="706" w:hanging="0"/>
      <w:outlineLvl w:val="6"/>
    </w:pPr>
    <w:rPr>
      <w:i/>
    </w:rPr>
  </w:style>
  <w:style w:type="paragraph" w:styleId="Heading8">
    <w:name w:val="Heading 8"/>
    <w:basedOn w:val="Normal"/>
    <w:next w:val="Normal"/>
    <w:link w:val="Heading8Char"/>
    <w:qFormat/>
    <w:rsid w:val="00f87a76"/>
    <w:pPr>
      <w:ind w:left="706" w:hanging="0"/>
      <w:outlineLvl w:val="7"/>
    </w:pPr>
    <w:rPr>
      <w:i/>
    </w:rPr>
  </w:style>
  <w:style w:type="paragraph" w:styleId="Heading9">
    <w:name w:val="Heading 9"/>
    <w:basedOn w:val="Normal"/>
    <w:next w:val="Normal"/>
    <w:link w:val="Heading9Char"/>
    <w:qFormat/>
    <w:rsid w:val="00f87a76"/>
    <w:pPr>
      <w:ind w:left="706" w:hanging="0"/>
      <w:outlineLvl w:val="8"/>
    </w:pPr>
    <w:rPr>
      <w:i/>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f87a76"/>
    <w:rPr/>
  </w:style>
  <w:style w:type="character" w:styleId="Heading2Char" w:customStyle="1">
    <w:name w:val="Heading 2 Char"/>
    <w:link w:val="Heading2"/>
    <w:qFormat/>
    <w:rsid w:val="00f87a76"/>
    <w:rPr>
      <w:rFonts w:ascii="Arial" w:hAnsi="Arial" w:eastAsia="Times New Roman" w:cs="Times New Roman"/>
      <w:b/>
      <w:color w:val="000000"/>
      <w:sz w:val="24"/>
      <w:lang w:eastAsia="de-DE"/>
    </w:rPr>
  </w:style>
  <w:style w:type="character" w:styleId="Heading1Char" w:customStyle="1">
    <w:name w:val="Heading 1 Char"/>
    <w:link w:val="Heading1"/>
    <w:qFormat/>
    <w:rsid w:val="00f87a76"/>
    <w:rPr>
      <w:rFonts w:ascii="Arial" w:hAnsi="Arial" w:eastAsia="Times New Roman" w:cs="Times New Roman"/>
      <w:b/>
      <w:color w:val="000000"/>
      <w:sz w:val="24"/>
      <w:u w:val="single"/>
      <w:lang w:eastAsia="de-DE"/>
    </w:rPr>
  </w:style>
  <w:style w:type="character" w:styleId="Heading3Char" w:customStyle="1">
    <w:name w:val="Heading 3 Char"/>
    <w:link w:val="Heading3"/>
    <w:qFormat/>
    <w:rsid w:val="00f87a76"/>
    <w:rPr>
      <w:rFonts w:eastAsia="Times New Roman" w:cs="Times New Roman"/>
      <w:b/>
      <w:color w:val="000000"/>
      <w:sz w:val="24"/>
      <w:lang w:eastAsia="de-DE"/>
    </w:rPr>
  </w:style>
  <w:style w:type="character" w:styleId="Heading4Char" w:customStyle="1">
    <w:name w:val="Heading 4 Char"/>
    <w:link w:val="Heading4"/>
    <w:qFormat/>
    <w:rsid w:val="00f87a76"/>
    <w:rPr>
      <w:rFonts w:ascii="Arial" w:hAnsi="Arial" w:eastAsia="Times New Roman" w:cs="Times New Roman"/>
      <w:b/>
      <w:color w:val="000000"/>
      <w:sz w:val="24"/>
      <w:lang w:eastAsia="de-DE"/>
    </w:rPr>
  </w:style>
  <w:style w:type="character" w:styleId="Heading5Char" w:customStyle="1">
    <w:name w:val="Heading 5 Char"/>
    <w:link w:val="Heading5"/>
    <w:qFormat/>
    <w:rsid w:val="00f87a76"/>
    <w:rPr>
      <w:rFonts w:eastAsia="Times New Roman" w:cs="Times New Roman"/>
      <w:b/>
      <w:color w:val="000000"/>
      <w:sz w:val="24"/>
      <w:lang w:eastAsia="de-DE"/>
    </w:rPr>
  </w:style>
  <w:style w:type="character" w:styleId="Heading6Char" w:customStyle="1">
    <w:name w:val="Heading 6 Char"/>
    <w:link w:val="Heading6"/>
    <w:qFormat/>
    <w:rsid w:val="00f87a76"/>
    <w:rPr>
      <w:rFonts w:eastAsia="Times New Roman" w:cs="Times New Roman"/>
      <w:color w:val="000000"/>
      <w:sz w:val="24"/>
      <w:u w:val="single"/>
      <w:lang w:eastAsia="de-DE"/>
    </w:rPr>
  </w:style>
  <w:style w:type="character" w:styleId="Heading7Char" w:customStyle="1">
    <w:name w:val="Heading 7 Char"/>
    <w:link w:val="Heading7"/>
    <w:qFormat/>
    <w:rsid w:val="00f87a76"/>
    <w:rPr>
      <w:rFonts w:eastAsia="Times New Roman" w:cs="Times New Roman"/>
      <w:i/>
      <w:color w:val="000000"/>
      <w:sz w:val="24"/>
      <w:lang w:eastAsia="de-DE"/>
    </w:rPr>
  </w:style>
  <w:style w:type="character" w:styleId="Heading8Char" w:customStyle="1">
    <w:name w:val="Heading 8 Char"/>
    <w:link w:val="Heading8"/>
    <w:qFormat/>
    <w:rsid w:val="00f87a76"/>
    <w:rPr>
      <w:rFonts w:eastAsia="Times New Roman" w:cs="Times New Roman"/>
      <w:i/>
      <w:color w:val="000000"/>
      <w:sz w:val="24"/>
      <w:lang w:eastAsia="de-DE"/>
    </w:rPr>
  </w:style>
  <w:style w:type="character" w:styleId="Heading9Char" w:customStyle="1">
    <w:name w:val="Heading 9 Char"/>
    <w:link w:val="Heading9"/>
    <w:qFormat/>
    <w:rsid w:val="00f87a76"/>
    <w:rPr>
      <w:rFonts w:eastAsia="Times New Roman" w:cs="Times New Roman"/>
      <w:i/>
      <w:color w:val="000000"/>
      <w:sz w:val="24"/>
      <w:lang w:eastAsia="de-DE"/>
    </w:rPr>
  </w:style>
  <w:style w:type="character" w:styleId="InternetLink">
    <w:name w:val="Internet Link"/>
    <w:uiPriority w:val="99"/>
    <w:rsid w:val="00f87a76"/>
    <w:rPr>
      <w:color w:val="0000FF"/>
      <w:u w:val="single"/>
    </w:rPr>
  </w:style>
  <w:style w:type="character" w:styleId="FollowedHyperlink">
    <w:name w:val="FollowedHyperlink"/>
    <w:qFormat/>
    <w:rsid w:val="00f87a76"/>
    <w:rPr>
      <w:color w:val="954F72"/>
      <w:u w:val="single"/>
    </w:rPr>
  </w:style>
  <w:style w:type="character" w:styleId="Linenumber">
    <w:name w:val="line number"/>
    <w:basedOn w:val="DefaultParagraphFont"/>
    <w:uiPriority w:val="99"/>
    <w:qFormat/>
    <w:rsid w:val="00f87a76"/>
    <w:rPr/>
  </w:style>
  <w:style w:type="character" w:styleId="FootnoteTextChar" w:customStyle="1">
    <w:name w:val="Footnote Text Char"/>
    <w:link w:val="FootnoteText"/>
    <w:qFormat/>
    <w:rsid w:val="00f87a76"/>
    <w:rPr>
      <w:rFonts w:eastAsia="Times New Roman" w:cs="Times New Roman"/>
      <w:color w:val="000000"/>
      <w:sz w:val="24"/>
      <w:lang w:eastAsia="de-DE"/>
    </w:rPr>
  </w:style>
  <w:style w:type="character" w:styleId="BalloonTextChar" w:customStyle="1">
    <w:name w:val="Balloon Text Char"/>
    <w:link w:val="BalloonText"/>
    <w:uiPriority w:val="99"/>
    <w:qFormat/>
    <w:rsid w:val="00f87a76"/>
    <w:rPr>
      <w:rFonts w:eastAsia="Times New Roman" w:cs="Tahoma"/>
      <w:color w:val="000000"/>
      <w:sz w:val="18"/>
      <w:szCs w:val="18"/>
      <w:lang w:eastAsia="de-DE"/>
    </w:rPr>
  </w:style>
  <w:style w:type="character" w:styleId="CommentTextChar" w:customStyle="1">
    <w:name w:val="Comment Text Char"/>
    <w:link w:val="CommentText"/>
    <w:qFormat/>
    <w:rsid w:val="00f87a76"/>
    <w:rPr>
      <w:rFonts w:eastAsia="Times New Roman" w:cs="Times New Roman"/>
      <w:color w:val="000000"/>
      <w:sz w:val="24"/>
      <w:lang w:eastAsia="de-DE"/>
    </w:rPr>
  </w:style>
  <w:style w:type="character" w:styleId="Annotationreference">
    <w:name w:val="annotation reference"/>
    <w:qFormat/>
    <w:rsid w:val="00f87a76"/>
    <w:rPr>
      <w:sz w:val="21"/>
      <w:szCs w:val="21"/>
    </w:rPr>
  </w:style>
  <w:style w:type="character" w:styleId="CommentSubjectChar" w:customStyle="1">
    <w:name w:val="Comment Subject Char"/>
    <w:link w:val="CommentSubject"/>
    <w:qFormat/>
    <w:rsid w:val="00f87a76"/>
    <w:rPr>
      <w:rFonts w:eastAsia="Times New Roman" w:cs="Times New Roman"/>
      <w:b/>
      <w:bCs/>
      <w:color w:val="000000"/>
      <w:sz w:val="24"/>
      <w:lang w:eastAsia="de-DE"/>
    </w:rPr>
  </w:style>
  <w:style w:type="character" w:styleId="EndnoteTextChar" w:customStyle="1">
    <w:name w:val="Endnote Text Char"/>
    <w:link w:val="EndnoteText"/>
    <w:qFormat/>
    <w:rsid w:val="00f87a76"/>
    <w:rPr>
      <w:rFonts w:eastAsia="Times New Roman" w:cs="Times New Roman"/>
      <w:color w:val="000000"/>
      <w:sz w:val="24"/>
      <w:szCs w:val="24"/>
      <w:lang w:val="en-GB" w:eastAsia="ar-SA"/>
    </w:rPr>
  </w:style>
  <w:style w:type="character" w:styleId="Endnotereference">
    <w:name w:val="endnote reference"/>
    <w:qFormat/>
    <w:rsid w:val="00f87a76"/>
    <w:rPr>
      <w:vertAlign w:val="superscript"/>
    </w:rPr>
  </w:style>
  <w:style w:type="character" w:styleId="FooterChar" w:customStyle="1">
    <w:name w:val="Footer Char"/>
    <w:link w:val="Footer"/>
    <w:uiPriority w:val="99"/>
    <w:qFormat/>
    <w:rsid w:val="00f87a76"/>
    <w:rPr>
      <w:rFonts w:eastAsia="Times New Roman" w:cs="Times New Roman"/>
      <w:color w:val="000000"/>
      <w:sz w:val="18"/>
      <w:szCs w:val="18"/>
      <w:lang w:eastAsia="de-DE"/>
    </w:rPr>
  </w:style>
  <w:style w:type="character" w:styleId="Pagenumber">
    <w:name w:val="page number"/>
    <w:basedOn w:val="DefaultParagraphFont"/>
    <w:qFormat/>
    <w:rsid w:val="00f87a76"/>
    <w:rPr/>
  </w:style>
  <w:style w:type="character" w:styleId="HeaderChar" w:customStyle="1">
    <w:name w:val="Header Char"/>
    <w:link w:val="Header"/>
    <w:uiPriority w:val="99"/>
    <w:qFormat/>
    <w:rsid w:val="00f87a76"/>
    <w:rPr>
      <w:rFonts w:eastAsia="Times New Roman" w:cs="Times New Roman"/>
      <w:color w:val="000000"/>
      <w:sz w:val="18"/>
      <w:szCs w:val="18"/>
      <w:lang w:eastAsia="de-DE"/>
    </w:rPr>
  </w:style>
  <w:style w:type="character" w:styleId="BodyTextChar" w:customStyle="1">
    <w:name w:val="Body Text Char"/>
    <w:link w:val="BodyText"/>
    <w:qFormat/>
    <w:rsid w:val="00f87a76"/>
    <w:rPr>
      <w:rFonts w:cs="Times New Roman"/>
      <w:color w:val="000000"/>
      <w:sz w:val="24"/>
      <w:lang w:eastAsia="de-DE"/>
    </w:rPr>
  </w:style>
  <w:style w:type="character" w:styleId="PlaceholderText">
    <w:name w:val="Placeholder Text"/>
    <w:uiPriority w:val="99"/>
    <w:semiHidden/>
    <w:qFormat/>
    <w:rsid w:val="00f87a76"/>
    <w:rPr>
      <w:color w:val="808080"/>
    </w:rPr>
  </w:style>
  <w:style w:type="character" w:styleId="Footnotereference">
    <w:name w:val="footnote reference"/>
    <w:basedOn w:val="DefaultParagraphFont"/>
    <w:uiPriority w:val="99"/>
    <w:semiHidden/>
    <w:unhideWhenUsed/>
    <w:qFormat/>
    <w:rsid w:val="002f7008"/>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neNumbering">
    <w:name w:val="Line Numbering"/>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f87a76"/>
    <w:pPr>
      <w:widowControl/>
      <w:bidi w:val="0"/>
      <w:spacing w:lineRule="atLeast" w:line="340" w:before="0" w:after="120"/>
      <w:jc w:val="both"/>
    </w:pPr>
    <w:rPr>
      <w:color w:val="000000"/>
      <w:sz w:val="24"/>
      <w:lang w:eastAsia="de-DE"/>
    </w:rPr>
  </w:style>
  <w:style w:type="paragraph" w:styleId="List">
    <w:name w:val="List"/>
    <w:basedOn w:val="Normal"/>
    <w:rsid w:val="00f87a76"/>
    <w:pPr>
      <w:spacing w:before="0" w:after="0"/>
      <w:ind w:left="200" w:hanging="20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MDPI11articletype" w:customStyle="1">
    <w:name w:val="MDPI_1.1_article_type"/>
    <w:basedOn w:val="MDPI31text"/>
    <w:qFormat/>
    <w:rsid w:val="00135c14"/>
    <w:pPr>
      <w:spacing w:lineRule="auto" w:line="240" w:before="240" w:after="0"/>
      <w:ind w:hanging="0"/>
      <w:jc w:val="left"/>
    </w:pPr>
    <w:rPr>
      <w:i/>
    </w:rPr>
  </w:style>
  <w:style w:type="paragraph" w:styleId="MDPI12title" w:customStyle="1">
    <w:name w:val="MDPI_1.2_title"/>
    <w:qFormat/>
    <w:rsid w:val="003b4e63"/>
    <w:pPr>
      <w:widowControl/>
      <w:bidi w:val="0"/>
      <w:snapToGrid w:val="false"/>
      <w:spacing w:lineRule="exact" w:line="400" w:before="0" w:after="240"/>
      <w:jc w:val="left"/>
    </w:pPr>
    <w:rPr>
      <w:rFonts w:ascii="Palatino Linotype" w:hAnsi="Palatino Linotype" w:eastAsia="Times New Roman" w:cs="Times New Roman"/>
      <w:b/>
      <w:color w:val="000000"/>
      <w:sz w:val="36"/>
      <w:szCs w:val="20"/>
      <w:lang w:eastAsia="de-DE" w:bidi="en-US" w:val="en-US"/>
    </w:rPr>
  </w:style>
  <w:style w:type="paragraph" w:styleId="MDPI13authornames" w:customStyle="1">
    <w:name w:val="MDPI_1.3_authornames"/>
    <w:basedOn w:val="MDPI31text"/>
    <w:qFormat/>
    <w:rsid w:val="0012125d"/>
    <w:pPr>
      <w:spacing w:before="0" w:after="120"/>
      <w:ind w:hanging="0"/>
      <w:jc w:val="left"/>
    </w:pPr>
    <w:rPr>
      <w:b/>
    </w:rPr>
  </w:style>
  <w:style w:type="paragraph" w:styleId="MDPI14history" w:customStyle="1">
    <w:name w:val="MDPI_1.4_history"/>
    <w:basedOn w:val="MDPI62Acknowledgments"/>
    <w:qFormat/>
    <w:rsid w:val="003b4e63"/>
    <w:pPr>
      <w:ind w:left="113" w:hanging="0"/>
      <w:jc w:val="left"/>
    </w:pPr>
    <w:rPr/>
  </w:style>
  <w:style w:type="paragraph" w:styleId="MDPI15academiceditor" w:customStyle="1">
    <w:name w:val="MDPI_1.5_academic_editor"/>
    <w:basedOn w:val="MDPI62Acknowledgments"/>
    <w:qFormat/>
    <w:rsid w:val="003b4e63"/>
    <w:pPr>
      <w:spacing w:before="0" w:after="120"/>
      <w:ind w:left="113" w:hanging="0"/>
      <w:jc w:val="left"/>
    </w:pPr>
    <w:rPr>
      <w:szCs w:val="22"/>
    </w:rPr>
  </w:style>
  <w:style w:type="paragraph" w:styleId="MDPI16affiliation" w:customStyle="1">
    <w:name w:val="MDPI_1.6_affiliation"/>
    <w:basedOn w:val="MDPI62Acknowledgments"/>
    <w:qFormat/>
    <w:rsid w:val="00f3278e"/>
    <w:pPr>
      <w:spacing w:before="0" w:after="0"/>
      <w:ind w:left="311" w:hanging="198"/>
      <w:jc w:val="left"/>
    </w:pPr>
    <w:rPr>
      <w:szCs w:val="18"/>
    </w:rPr>
  </w:style>
  <w:style w:type="paragraph" w:styleId="MDPI17abstract" w:customStyle="1">
    <w:name w:val="MDPI_1.7_abstract"/>
    <w:basedOn w:val="MDPI31text"/>
    <w:qFormat/>
    <w:rsid w:val="003b4e63"/>
    <w:pPr>
      <w:spacing w:before="240" w:after="0"/>
      <w:ind w:left="113" w:hanging="0"/>
    </w:pPr>
    <w:rPr/>
  </w:style>
  <w:style w:type="paragraph" w:styleId="MDPI18keywords" w:customStyle="1">
    <w:name w:val="MDPI_1.8_keywords"/>
    <w:basedOn w:val="MDPI31text"/>
    <w:qFormat/>
    <w:rsid w:val="003b4e63"/>
    <w:pPr>
      <w:spacing w:before="240" w:after="0"/>
      <w:ind w:left="113" w:hanging="0"/>
    </w:pPr>
    <w:rPr/>
  </w:style>
  <w:style w:type="paragraph" w:styleId="MDPI19classification" w:customStyle="1">
    <w:name w:val="MDPI_1.9_classification"/>
    <w:basedOn w:val="MDPI31text"/>
    <w:qFormat/>
    <w:rsid w:val="003b4e63"/>
    <w:pPr>
      <w:spacing w:before="240" w:after="0"/>
      <w:ind w:left="113" w:hanging="0"/>
    </w:pPr>
    <w:rPr>
      <w:b/>
    </w:rPr>
  </w:style>
  <w:style w:type="paragraph" w:styleId="MDPI19line" w:customStyle="1">
    <w:name w:val="MDPI_1.9_line"/>
    <w:basedOn w:val="MDPI31text"/>
    <w:qFormat/>
    <w:rsid w:val="003b4e63"/>
    <w:pPr>
      <w:pBdr>
        <w:bottom w:val="single" w:sz="6" w:space="1" w:color="00000A"/>
      </w:pBdr>
      <w:ind w:hanging="0"/>
    </w:pPr>
    <w:rPr>
      <w:szCs w:val="24"/>
    </w:rPr>
  </w:style>
  <w:style w:type="paragraph" w:styleId="M1stheader" w:customStyle="1">
    <w:name w:val="M_1stheader"/>
    <w:basedOn w:val="Normal"/>
    <w:qFormat/>
    <w:rsid w:val="00f87a76"/>
    <w:pPr>
      <w:tabs>
        <w:tab w:val="center" w:pos="4320" w:leader="none"/>
        <w:tab w:val="right" w:pos="8640" w:leader="none"/>
      </w:tabs>
      <w:ind w:right="360" w:hanging="0"/>
      <w:outlineLvl w:val="0"/>
    </w:pPr>
    <w:rPr>
      <w:i/>
    </w:rPr>
  </w:style>
  <w:style w:type="paragraph" w:styleId="Mabstract" w:customStyle="1">
    <w:name w:val="M_abstract"/>
    <w:basedOn w:val="Mdeck4text"/>
    <w:qFormat/>
    <w:rsid w:val="00f87a76"/>
    <w:pPr>
      <w:spacing w:before="240" w:after="0"/>
      <w:ind w:left="113" w:right="505" w:hanging="0"/>
    </w:pPr>
    <w:rPr/>
  </w:style>
  <w:style w:type="paragraph" w:styleId="MAcknow" w:customStyle="1">
    <w:name w:val="M_Acknow"/>
    <w:basedOn w:val="Normal"/>
    <w:qFormat/>
    <w:rsid w:val="00f87a76"/>
    <w:pPr>
      <w:spacing w:lineRule="atLeast" w:line="240" w:before="120" w:after="0"/>
    </w:pPr>
    <w:rPr>
      <w:rFonts w:ascii="Minion Pro" w:hAnsi="Minion Pro"/>
    </w:rPr>
  </w:style>
  <w:style w:type="paragraph" w:styleId="Maddress" w:customStyle="1">
    <w:name w:val="M_address"/>
    <w:basedOn w:val="Normal"/>
    <w:qFormat/>
    <w:rsid w:val="00f87a76"/>
    <w:pPr>
      <w:spacing w:before="240" w:after="0"/>
    </w:pPr>
    <w:rPr/>
  </w:style>
  <w:style w:type="paragraph" w:styleId="Mauthor" w:customStyle="1">
    <w:name w:val="M_author"/>
    <w:basedOn w:val="Normal"/>
    <w:qFormat/>
    <w:rsid w:val="00f87a76"/>
    <w:pPr>
      <w:spacing w:lineRule="exact" w:line="340" w:before="240" w:after="240"/>
    </w:pPr>
    <w:rPr>
      <w:b/>
      <w:lang w:val="it-IT"/>
    </w:rPr>
  </w:style>
  <w:style w:type="paragraph" w:styleId="MCaption" w:customStyle="1">
    <w:name w:val="M_Caption"/>
    <w:basedOn w:val="Normal"/>
    <w:qFormat/>
    <w:rsid w:val="00f87a76"/>
    <w:pPr>
      <w:spacing w:before="240" w:after="240"/>
      <w:jc w:val="center"/>
    </w:pPr>
    <w:rPr/>
  </w:style>
  <w:style w:type="paragraph" w:styleId="MCopyright" w:customStyle="1">
    <w:name w:val="M_Copyright"/>
    <w:basedOn w:val="Mdeck8references"/>
    <w:qFormat/>
    <w:rsid w:val="00f87a76"/>
    <w:pPr>
      <w:tabs>
        <w:tab w:val="center" w:pos="4536" w:leader="none"/>
        <w:tab w:val="right" w:pos="9072" w:leader="none"/>
      </w:tabs>
      <w:spacing w:before="400" w:after="0"/>
      <w:ind w:left="0" w:hanging="0"/>
    </w:pPr>
    <w:rPr/>
  </w:style>
  <w:style w:type="paragraph" w:styleId="Mdeck1articletitle" w:customStyle="1">
    <w:name w:val="M_deck_1_article_title"/>
    <w:qFormat/>
    <w:rsid w:val="00da62b6"/>
    <w:pPr>
      <w:widowControl/>
      <w:overflowPunct w:val="true"/>
      <w:bidi w:val="0"/>
      <w:snapToGrid w:val="false"/>
      <w:spacing w:lineRule="exact" w:line="400" w:before="0" w:after="240"/>
      <w:jc w:val="left"/>
    </w:pPr>
    <w:rPr>
      <w:rFonts w:ascii="Minion Pro" w:hAnsi="Minion Pro" w:eastAsia="Times New Roman" w:cs="Times New Roman"/>
      <w:b/>
      <w:color w:val="000000"/>
      <w:sz w:val="36"/>
      <w:szCs w:val="20"/>
      <w:lang w:eastAsia="de-DE" w:bidi="en-US" w:val="en-US"/>
    </w:rPr>
  </w:style>
  <w:style w:type="paragraph" w:styleId="Mdeck1articletype" w:customStyle="1">
    <w:name w:val="M_deck_1_article_type"/>
    <w:basedOn w:val="Mdeck4text"/>
    <w:qFormat/>
    <w:rsid w:val="00da62b6"/>
    <w:pPr>
      <w:widowControl w:val="false"/>
      <w:spacing w:lineRule="auto" w:line="240" w:before="120" w:after="120"/>
      <w:ind w:hanging="0"/>
      <w:jc w:val="left"/>
    </w:pPr>
    <w:rPr>
      <w:i/>
      <w:sz w:val="20"/>
      <w:szCs w:val="24"/>
    </w:rPr>
  </w:style>
  <w:style w:type="paragraph" w:styleId="Mdeck2authoraffiliation" w:customStyle="1">
    <w:name w:val="M_deck_2_author_affiliation"/>
    <w:qFormat/>
    <w:rsid w:val="00da62b6"/>
    <w:pPr>
      <w:widowControl w:val="false"/>
      <w:overflowPunct w:val="true"/>
      <w:bidi w:val="0"/>
      <w:snapToGrid w:val="false"/>
      <w:spacing w:lineRule="atLeast" w:line="340"/>
      <w:ind w:left="311" w:hanging="198"/>
      <w:jc w:val="left"/>
    </w:pPr>
    <w:rPr>
      <w:rFonts w:eastAsia="Times New Roman" w:ascii="Times New Roman" w:hAnsi="Times New Roman" w:cs="Times New Roman"/>
      <w:color w:val="000000"/>
      <w:sz w:val="24"/>
      <w:szCs w:val="20"/>
      <w:lang w:eastAsia="de-DE" w:bidi="en-US" w:val="en-US"/>
    </w:rPr>
  </w:style>
  <w:style w:type="paragraph" w:styleId="Mdeck2authorcorrespondence" w:customStyle="1">
    <w:name w:val="M_deck_2_author_correspondence"/>
    <w:qFormat/>
    <w:rsid w:val="00da62b6"/>
    <w:pPr>
      <w:widowControl/>
      <w:overflowPunct w:val="true"/>
      <w:bidi w:val="0"/>
      <w:snapToGrid w:val="false"/>
      <w:spacing w:lineRule="atLeast" w:line="200"/>
      <w:ind w:left="311" w:hanging="198"/>
      <w:jc w:val="left"/>
    </w:pPr>
    <w:rPr>
      <w:rFonts w:ascii="Palatino Linotype" w:hAnsi="Palatino Linotype" w:eastAsia="Times New Roman" w:cs="Times New Roman"/>
      <w:color w:val="000000"/>
      <w:sz w:val="18"/>
      <w:szCs w:val="20"/>
      <w:lang w:eastAsia="de-DE" w:bidi="en-US" w:val="en-US"/>
    </w:rPr>
  </w:style>
  <w:style w:type="paragraph" w:styleId="Mdeck2authorname" w:customStyle="1">
    <w:name w:val="M_deck_2_author_name"/>
    <w:qFormat/>
    <w:rsid w:val="00da62b6"/>
    <w:pPr>
      <w:widowControl/>
      <w:overflowPunct w:val="true"/>
      <w:bidi w:val="0"/>
      <w:snapToGrid w:val="false"/>
      <w:spacing w:lineRule="atLeast" w:line="320" w:before="240" w:after="120"/>
      <w:jc w:val="left"/>
    </w:pPr>
    <w:rPr>
      <w:rFonts w:eastAsia="Times New Roman" w:ascii="Times New Roman" w:hAnsi="Times New Roman" w:cs="Times New Roman"/>
      <w:b/>
      <w:color w:val="000000"/>
      <w:sz w:val="22"/>
      <w:szCs w:val="20"/>
      <w:lang w:eastAsia="de-DE" w:bidi="en-US" w:val="en-US"/>
    </w:rPr>
  </w:style>
  <w:style w:type="paragraph" w:styleId="Mdeck3abstract" w:customStyle="1">
    <w:name w:val="M_deck_3_abstract"/>
    <w:basedOn w:val="Mdeck4text"/>
    <w:qFormat/>
    <w:rsid w:val="00da62b6"/>
    <w:pPr>
      <w:widowControl w:val="false"/>
      <w:spacing w:lineRule="atLeast" w:line="340" w:before="240" w:after="240"/>
      <w:ind w:left="113" w:right="567" w:hanging="0"/>
    </w:pPr>
    <w:rPr/>
  </w:style>
  <w:style w:type="paragraph" w:styleId="Mdeck3keywords" w:customStyle="1">
    <w:name w:val="M_deck_3_keywords"/>
    <w:basedOn w:val="Mdeck4text"/>
    <w:next w:val="Normal"/>
    <w:qFormat/>
    <w:rsid w:val="00da62b6"/>
    <w:pPr>
      <w:spacing w:before="240" w:after="0"/>
      <w:ind w:left="113" w:hanging="0"/>
    </w:pPr>
    <w:rPr/>
  </w:style>
  <w:style w:type="paragraph" w:styleId="Mdeck3publcationhistory" w:customStyle="1">
    <w:name w:val="M_deck_3_publcation_history"/>
    <w:next w:val="Normal"/>
    <w:qFormat/>
    <w:rsid w:val="00da62b6"/>
    <w:pPr>
      <w:widowControl w:val="false"/>
      <w:overflowPunct w:val="true"/>
      <w:bidi w:val="0"/>
      <w:snapToGrid w:val="false"/>
      <w:spacing w:lineRule="atLeast" w:line="340" w:before="240" w:after="0"/>
      <w:ind w:left="113" w:hanging="0"/>
      <w:jc w:val="left"/>
    </w:pPr>
    <w:rPr>
      <w:rFonts w:eastAsia="Times New Roman" w:ascii="Times New Roman" w:hAnsi="Times New Roman" w:cs="Times New Roman"/>
      <w:i/>
      <w:color w:val="000000"/>
      <w:sz w:val="24"/>
      <w:szCs w:val="20"/>
      <w:lang w:eastAsia="de-DE" w:bidi="en-US" w:val="en-US"/>
    </w:rPr>
  </w:style>
  <w:style w:type="paragraph" w:styleId="Mdeck4heading1" w:customStyle="1">
    <w:name w:val="M_deck_4_heading_1"/>
    <w:basedOn w:val="MHeading3"/>
    <w:next w:val="Normal"/>
    <w:qFormat/>
    <w:rsid w:val="00da62b6"/>
    <w:pPr>
      <w:spacing w:lineRule="atLeast" w:line="340"/>
      <w:outlineLvl w:val="0"/>
    </w:pPr>
    <w:rPr>
      <w:b/>
    </w:rPr>
  </w:style>
  <w:style w:type="paragraph" w:styleId="Mdeck4heading2" w:customStyle="1">
    <w:name w:val="M_deck_4_heading_2"/>
    <w:basedOn w:val="MHeading3"/>
    <w:next w:val="Normal"/>
    <w:qFormat/>
    <w:rsid w:val="00da62b6"/>
    <w:pPr>
      <w:outlineLvl w:val="1"/>
    </w:pPr>
    <w:rPr>
      <w:i/>
    </w:rPr>
  </w:style>
  <w:style w:type="paragraph" w:styleId="Mdeck4heading3" w:customStyle="1">
    <w:name w:val="M_deck_4_heading_3"/>
    <w:basedOn w:val="Mdeck4text"/>
    <w:next w:val="Normal"/>
    <w:qFormat/>
    <w:rsid w:val="00da62b6"/>
    <w:pPr>
      <w:spacing w:lineRule="atLeast" w:line="340" w:before="240" w:after="120"/>
      <w:ind w:firstLine="50"/>
      <w:outlineLvl w:val="2"/>
    </w:pPr>
    <w:rPr/>
  </w:style>
  <w:style w:type="paragraph" w:styleId="Mdeck4text" w:customStyle="1">
    <w:name w:val="M_deck_4_text"/>
    <w:qFormat/>
    <w:rsid w:val="00da62b6"/>
    <w:pPr>
      <w:widowControl/>
      <w:overflowPunct w:val="true"/>
      <w:bidi w:val="0"/>
      <w:snapToGrid w:val="false"/>
      <w:spacing w:lineRule="atLeast" w:line="320"/>
      <w:ind w:firstLine="425"/>
      <w:jc w:val="both"/>
    </w:pPr>
    <w:rPr>
      <w:rFonts w:ascii="Minion Pro" w:hAnsi="Minion Pro" w:eastAsia="Times New Roman" w:cs="Times New Roman"/>
      <w:color w:val="000000"/>
      <w:sz w:val="24"/>
      <w:szCs w:val="20"/>
      <w:lang w:eastAsia="de-DE" w:bidi="en-US" w:val="en-US"/>
    </w:rPr>
  </w:style>
  <w:style w:type="paragraph" w:styleId="Mdeck4textbulletlist" w:customStyle="1">
    <w:name w:val="M_deck_4_text_bullet_list"/>
    <w:basedOn w:val="Mdeck4text"/>
    <w:qFormat/>
    <w:rsid w:val="00da62b6"/>
    <w:pPr>
      <w:spacing w:lineRule="atLeast" w:line="340" w:before="120" w:after="120"/>
    </w:pPr>
    <w:rPr/>
  </w:style>
  <w:style w:type="paragraph" w:styleId="Mdeck4textfirstlinezero" w:customStyle="1">
    <w:name w:val="M_deck_4_text_firstline_zero"/>
    <w:basedOn w:val="Mdeck4text"/>
    <w:qFormat/>
    <w:rsid w:val="00da62b6"/>
    <w:pPr>
      <w:ind w:hanging="0"/>
    </w:pPr>
    <w:rPr>
      <w:szCs w:val="24"/>
    </w:rPr>
  </w:style>
  <w:style w:type="paragraph" w:styleId="MFigure" w:customStyle="1">
    <w:name w:val="M_Figure"/>
    <w:qFormat/>
    <w:rsid w:val="00f87a76"/>
    <w:pPr>
      <w:widowControl/>
      <w:bidi w:val="0"/>
      <w:jc w:val="center"/>
    </w:pPr>
    <w:rPr>
      <w:rFonts w:ascii="Minion Pro" w:hAnsi="Minion Pro" w:eastAsia="Times New Roman" w:cs="Times New Roman"/>
      <w:color w:val="000000"/>
      <w:sz w:val="24"/>
      <w:szCs w:val="20"/>
      <w:lang w:eastAsia="zh-CN" w:val="en-US" w:bidi="ar-SA"/>
    </w:rPr>
  </w:style>
  <w:style w:type="paragraph" w:styleId="Mdeck4textlist" w:customStyle="1">
    <w:name w:val="M_deck_4_text_list"/>
    <w:basedOn w:val="MFigure"/>
    <w:qFormat/>
    <w:rsid w:val="00da62b6"/>
    <w:pPr/>
    <w:rPr>
      <w:i/>
    </w:rPr>
  </w:style>
  <w:style w:type="paragraph" w:styleId="Mdeck4textlrindent" w:customStyle="1">
    <w:name w:val="M_deck_4_text_lr_indent"/>
    <w:basedOn w:val="Mdeck4text"/>
    <w:qFormat/>
    <w:rsid w:val="00da62b6"/>
    <w:pPr>
      <w:spacing w:lineRule="atLeast" w:line="260" w:before="120" w:after="120"/>
      <w:ind w:left="425" w:right="425" w:hanging="0"/>
    </w:pPr>
    <w:rPr>
      <w:rFonts w:ascii="Palatino Linotype" w:hAnsi="Palatino Linotype"/>
      <w:sz w:val="20"/>
    </w:rPr>
  </w:style>
  <w:style w:type="paragraph" w:styleId="Mdeck4textnumberedlist" w:customStyle="1">
    <w:name w:val="M_deck_4_text_numbered_list"/>
    <w:basedOn w:val="Mdeck4text"/>
    <w:qFormat/>
    <w:rsid w:val="00da62b6"/>
    <w:pPr>
      <w:spacing w:lineRule="atLeast" w:line="340" w:before="120" w:after="120"/>
    </w:pPr>
    <w:rPr/>
  </w:style>
  <w:style w:type="paragraph" w:styleId="Mdeck5tablebody" w:customStyle="1">
    <w:name w:val="M_deck_5_table_body"/>
    <w:qFormat/>
    <w:rsid w:val="00da62b6"/>
    <w:pPr>
      <w:widowControl/>
      <w:overflowPunct w:val="true"/>
      <w:bidi w:val="0"/>
      <w:snapToGrid w:val="false"/>
      <w:jc w:val="center"/>
    </w:pPr>
    <w:rPr>
      <w:rFonts w:ascii="Minion Pro" w:hAnsi="Minion Pro" w:eastAsia="Times New Roman" w:cs="Times New Roman"/>
      <w:color w:val="000000"/>
      <w:sz w:val="24"/>
      <w:szCs w:val="20"/>
      <w:lang w:eastAsia="de-DE" w:bidi="en-US" w:val="en-US"/>
    </w:rPr>
  </w:style>
  <w:style w:type="paragraph" w:styleId="Mdeck5tablecaption" w:customStyle="1">
    <w:name w:val="M_deck_5_table_caption"/>
    <w:qFormat/>
    <w:rsid w:val="00da62b6"/>
    <w:pPr>
      <w:widowControl/>
      <w:overflowPunct w:val="true"/>
      <w:bidi w:val="0"/>
      <w:snapToGrid w:val="false"/>
      <w:spacing w:lineRule="atLeast" w:line="260" w:before="0" w:after="120"/>
      <w:jc w:val="both"/>
    </w:pPr>
    <w:rPr>
      <w:rFonts w:ascii="Palatino Linotype" w:hAnsi="Palatino Linotype" w:eastAsia="Times New Roman" w:cs="Times New Roman"/>
      <w:color w:val="000000"/>
      <w:sz w:val="18"/>
      <w:szCs w:val="20"/>
      <w:lang w:eastAsia="de-DE" w:bidi="en-US" w:val="en-US"/>
    </w:rPr>
  </w:style>
  <w:style w:type="paragraph" w:styleId="Mdeck5tablefooter" w:customStyle="1">
    <w:name w:val="M_deck_5_table_footer"/>
    <w:basedOn w:val="Mdeck5tablecaption"/>
    <w:qFormat/>
    <w:rsid w:val="00da62b6"/>
    <w:pPr>
      <w:spacing w:lineRule="exact" w:line="300"/>
    </w:pPr>
    <w:rPr/>
  </w:style>
  <w:style w:type="paragraph" w:styleId="Mdeck5tableheader" w:customStyle="1">
    <w:name w:val="M_deck_5_table_header"/>
    <w:basedOn w:val="Mdeck5tablefooter"/>
    <w:qFormat/>
    <w:rsid w:val="00da62b6"/>
    <w:pPr/>
    <w:rPr/>
  </w:style>
  <w:style w:type="paragraph" w:styleId="Mdeck6figurebody" w:customStyle="1">
    <w:name w:val="M_deck_6_figure_body"/>
    <w:qFormat/>
    <w:rsid w:val="00da62b6"/>
    <w:pPr>
      <w:widowControl w:val="false"/>
      <w:overflowPunct w:val="true"/>
      <w:bidi w:val="0"/>
      <w:snapToGrid w:val="false"/>
      <w:spacing w:lineRule="atLeast" w:line="340"/>
      <w:jc w:val="center"/>
    </w:pPr>
    <w:rPr>
      <w:rFonts w:eastAsia="Times New Roman" w:ascii="Times New Roman" w:hAnsi="Times New Roman" w:cs="Times New Roman"/>
      <w:color w:val="000000"/>
      <w:sz w:val="24"/>
      <w:szCs w:val="20"/>
      <w:lang w:eastAsia="de-DE" w:bidi="en-US" w:val="en-US"/>
    </w:rPr>
  </w:style>
  <w:style w:type="paragraph" w:styleId="Mdeck6figurecaption" w:customStyle="1">
    <w:name w:val="M_deck_6_figure_caption"/>
    <w:qFormat/>
    <w:rsid w:val="00da62b6"/>
    <w:pPr>
      <w:widowControl/>
      <w:bidi w:val="0"/>
      <w:snapToGrid w:val="false"/>
      <w:spacing w:lineRule="atLeast" w:line="260" w:before="120" w:after="0"/>
      <w:jc w:val="left"/>
    </w:pPr>
    <w:rPr>
      <w:rFonts w:ascii="Palatino Linotype" w:hAnsi="Palatino Linotype" w:eastAsia="Times New Roman" w:cs="Times New Roman"/>
      <w:color w:val="000000"/>
      <w:sz w:val="18"/>
      <w:szCs w:val="20"/>
      <w:lang w:eastAsia="de-DE" w:bidi="en-US" w:val="en-US"/>
    </w:rPr>
  </w:style>
  <w:style w:type="paragraph" w:styleId="Mdeck7equation" w:customStyle="1">
    <w:name w:val="M_deck_7_equation"/>
    <w:basedOn w:val="Mdeck4text"/>
    <w:qFormat/>
    <w:rsid w:val="00da62b6"/>
    <w:pPr>
      <w:spacing w:before="120" w:after="120"/>
      <w:ind w:left="709" w:hanging="0"/>
      <w:jc w:val="center"/>
    </w:pPr>
    <w:rPr>
      <w:i/>
      <w:szCs w:val="24"/>
      <w:lang w:eastAsia="en-US"/>
    </w:rPr>
  </w:style>
  <w:style w:type="paragraph" w:styleId="Mdeck8references" w:customStyle="1">
    <w:name w:val="M_deck_8_references"/>
    <w:qFormat/>
    <w:rsid w:val="00da62b6"/>
    <w:pPr>
      <w:widowControl/>
      <w:overflowPunct w:val="true"/>
      <w:bidi w:val="0"/>
      <w:snapToGrid w:val="false"/>
      <w:spacing w:lineRule="atLeast" w:line="260"/>
      <w:jc w:val="both"/>
    </w:pPr>
    <w:rPr>
      <w:rFonts w:eastAsia="Times New Roman" w:ascii="Times New Roman" w:hAnsi="Times New Roman" w:cs="Times New Roman"/>
      <w:color w:val="000000"/>
      <w:sz w:val="24"/>
      <w:szCs w:val="20"/>
      <w:lang w:eastAsia="de-DE" w:bidi="en-US" w:val="en-US"/>
    </w:rPr>
  </w:style>
  <w:style w:type="paragraph" w:styleId="MHeader" w:customStyle="1">
    <w:name w:val="M_Header"/>
    <w:basedOn w:val="Normal"/>
    <w:qFormat/>
    <w:rsid w:val="00f87a76"/>
    <w:pPr>
      <w:spacing w:before="0" w:after="240"/>
      <w:ind w:left="425" w:hanging="0"/>
    </w:pPr>
    <w:rPr>
      <w:rFonts w:ascii="Minion Pro" w:hAnsi="Minion Pro"/>
    </w:rPr>
  </w:style>
  <w:style w:type="paragraph" w:styleId="MHeading1" w:customStyle="1">
    <w:name w:val="M_Heading1"/>
    <w:basedOn w:val="MHeading3"/>
    <w:qFormat/>
    <w:rsid w:val="00f87a76"/>
    <w:pPr/>
    <w:rPr>
      <w:b/>
    </w:rPr>
  </w:style>
  <w:style w:type="paragraph" w:styleId="MHeading2" w:customStyle="1">
    <w:name w:val="M_Heading2"/>
    <w:basedOn w:val="MHeading3"/>
    <w:qFormat/>
    <w:rsid w:val="00f87a76"/>
    <w:pPr/>
    <w:rPr>
      <w:i/>
    </w:rPr>
  </w:style>
  <w:style w:type="paragraph" w:styleId="MHeading3" w:customStyle="1">
    <w:name w:val="M_Heading3"/>
    <w:basedOn w:val="Mdeck4text"/>
    <w:qFormat/>
    <w:rsid w:val="00f87a76"/>
    <w:pPr>
      <w:spacing w:before="240" w:after="120"/>
    </w:pPr>
    <w:rPr/>
  </w:style>
  <w:style w:type="paragraph" w:styleId="MISSN" w:customStyle="1">
    <w:name w:val="M_ISSN"/>
    <w:basedOn w:val="Normal"/>
    <w:qFormat/>
    <w:rsid w:val="00f87a76"/>
    <w:pPr>
      <w:spacing w:before="0" w:after="520"/>
      <w:jc w:val="right"/>
    </w:pPr>
    <w:rPr/>
  </w:style>
  <w:style w:type="paragraph" w:styleId="Mline2" w:customStyle="1">
    <w:name w:val="M_line2"/>
    <w:basedOn w:val="Mdeck4text"/>
    <w:qFormat/>
    <w:rsid w:val="00f87a76"/>
    <w:pPr>
      <w:pBdr>
        <w:bottom w:val="single" w:sz="6" w:space="1" w:color="00000A"/>
      </w:pBdr>
      <w:spacing w:before="0" w:after="480"/>
    </w:pPr>
    <w:rPr/>
  </w:style>
  <w:style w:type="paragraph" w:styleId="Mline1" w:customStyle="1">
    <w:name w:val="M_line1"/>
    <w:basedOn w:val="Mdeck4text"/>
    <w:qFormat/>
    <w:rsid w:val="00f87a76"/>
    <w:pPr>
      <w:ind w:hanging="0"/>
    </w:pPr>
    <w:rPr/>
  </w:style>
  <w:style w:type="paragraph" w:styleId="MLogo" w:customStyle="1">
    <w:name w:val="M_Logo"/>
    <w:basedOn w:val="Normal"/>
    <w:qFormat/>
    <w:rsid w:val="00f87a76"/>
    <w:pPr>
      <w:spacing w:before="140" w:after="0"/>
      <w:jc w:val="right"/>
    </w:pPr>
    <w:rPr>
      <w:b/>
      <w:i/>
      <w:sz w:val="64"/>
    </w:rPr>
  </w:style>
  <w:style w:type="paragraph" w:styleId="Mreceived" w:customStyle="1">
    <w:name w:val="M_received"/>
    <w:basedOn w:val="Maddress"/>
    <w:qFormat/>
    <w:rsid w:val="00f87a76"/>
    <w:pPr/>
    <w:rPr>
      <w:i/>
    </w:rPr>
  </w:style>
  <w:style w:type="paragraph" w:styleId="MRefer" w:customStyle="1">
    <w:name w:val="M_Refer"/>
    <w:basedOn w:val="Normal"/>
    <w:qFormat/>
    <w:rsid w:val="00f87a76"/>
    <w:pPr>
      <w:ind w:left="461" w:hanging="461"/>
    </w:pPr>
    <w:rPr/>
  </w:style>
  <w:style w:type="paragraph" w:styleId="Mtable" w:customStyle="1">
    <w:name w:val="M_table"/>
    <w:basedOn w:val="Normal"/>
    <w:qFormat/>
    <w:rsid w:val="00f87a76"/>
    <w:pPr>
      <w:keepNext/>
      <w:tabs>
        <w:tab w:val="left" w:pos="284" w:leader="none"/>
      </w:tabs>
    </w:pPr>
    <w:rPr/>
  </w:style>
  <w:style w:type="paragraph" w:styleId="MTablecaption" w:customStyle="1">
    <w:name w:val="M_Tablecaption"/>
    <w:basedOn w:val="MCaption"/>
    <w:qFormat/>
    <w:rsid w:val="00f87a76"/>
    <w:pPr>
      <w:spacing w:before="240" w:after="0"/>
    </w:pPr>
    <w:rPr/>
  </w:style>
  <w:style w:type="paragraph" w:styleId="MText" w:customStyle="1">
    <w:name w:val="M_Text"/>
    <w:basedOn w:val="Normal"/>
    <w:qFormat/>
    <w:rsid w:val="00f87a76"/>
    <w:pPr>
      <w:ind w:firstLine="288"/>
    </w:pPr>
    <w:rPr/>
  </w:style>
  <w:style w:type="paragraph" w:styleId="MTitel" w:customStyle="1">
    <w:name w:val="M_Titel"/>
    <w:basedOn w:val="Normal"/>
    <w:qFormat/>
    <w:rsid w:val="00f87a76"/>
    <w:pPr>
      <w:spacing w:before="240" w:after="0"/>
    </w:pPr>
    <w:rPr>
      <w:b/>
      <w:sz w:val="36"/>
      <w:lang w:val="en-GB"/>
    </w:rPr>
  </w:style>
  <w:style w:type="paragraph" w:styleId="MDPIheader" w:customStyle="1">
    <w:name w:val="MDPI_header"/>
    <w:qFormat/>
    <w:rsid w:val="003b4e63"/>
    <w:pPr>
      <w:widowControl/>
      <w:bidi w:val="0"/>
      <w:snapToGrid w:val="false"/>
      <w:spacing w:before="0" w:after="240"/>
      <w:jc w:val="left"/>
    </w:pPr>
    <w:rPr>
      <w:rFonts w:ascii="Palatino Linotype" w:hAnsi="Palatino Linotype" w:eastAsia="Times New Roman" w:cs="Times New Roman"/>
      <w:iCs/>
      <w:color w:val="auto"/>
      <w:sz w:val="16"/>
      <w:szCs w:val="20"/>
      <w:lang w:eastAsia="de-DE" w:val="en-US" w:bidi="ar-SA"/>
    </w:rPr>
  </w:style>
  <w:style w:type="paragraph" w:styleId="Mheaderjournallogo" w:customStyle="1">
    <w:name w:val="M_header_journal_logo"/>
    <w:qFormat/>
    <w:rsid w:val="00f87a76"/>
    <w:pPr>
      <w:widowControl/>
      <w:bidi w:val="0"/>
      <w:jc w:val="left"/>
    </w:pPr>
    <w:rPr>
      <w:rFonts w:ascii="Minion Pro" w:hAnsi="Minion Pro" w:eastAsia="SimSun" w:cs="Times New Roman"/>
      <w:color w:val="000000"/>
      <w:sz w:val="24"/>
      <w:szCs w:val="20"/>
      <w:lang w:val="de-DE" w:eastAsia="zh-CN" w:bidi="ar-SA"/>
    </w:rPr>
  </w:style>
  <w:style w:type="paragraph" w:styleId="TextBericht" w:customStyle="1">
    <w:name w:val="Text_Bericht"/>
    <w:basedOn w:val="Normal"/>
    <w:uiPriority w:val="99"/>
    <w:qFormat/>
    <w:rsid w:val="00f87a76"/>
    <w:pPr>
      <w:spacing w:lineRule="auto" w:line="276" w:before="0" w:after="120"/>
    </w:pPr>
    <w:rPr>
      <w:rFonts w:ascii="Arial" w:hAnsi="Arial"/>
      <w:lang w:val="de-DE"/>
    </w:rPr>
  </w:style>
  <w:style w:type="paragraph" w:styleId="Berschrift3" w:customStyle="1">
    <w:name w:val="Überschrift3"/>
    <w:basedOn w:val="Heading2"/>
    <w:uiPriority w:val="99"/>
    <w:qFormat/>
    <w:rsid w:val="00f87a76"/>
    <w:pPr>
      <w:keepNext/>
      <w:tabs>
        <w:tab w:val="left" w:pos="360" w:leader="none"/>
      </w:tabs>
      <w:spacing w:before="0" w:after="0"/>
      <w:ind w:left="576" w:hanging="576"/>
    </w:pPr>
    <w:rPr>
      <w:rFonts w:cs="Arial"/>
      <w:bCs/>
      <w:iCs/>
      <w:sz w:val="18"/>
      <w:szCs w:val="28"/>
      <w:lang w:val="de-DE"/>
    </w:rPr>
  </w:style>
  <w:style w:type="paragraph" w:styleId="Footnotetext">
    <w:name w:val="footnote text"/>
    <w:basedOn w:val="Normal"/>
    <w:link w:val="FootnoteTextChar"/>
    <w:qFormat/>
    <w:rsid w:val="00f87a76"/>
    <w:pPr/>
    <w:rPr/>
  </w:style>
  <w:style w:type="paragraph" w:styleId="ListBullet">
    <w:name w:val="List Bullet"/>
    <w:basedOn w:val="Normal"/>
    <w:qFormat/>
    <w:rsid w:val="00f87a76"/>
    <w:pPr>
      <w:tabs>
        <w:tab w:val="left" w:pos="360" w:leader="none"/>
      </w:tabs>
      <w:spacing w:before="0" w:after="0"/>
      <w:ind w:left="200" w:hanging="200"/>
      <w:contextualSpacing/>
    </w:pPr>
    <w:rPr/>
  </w:style>
  <w:style w:type="paragraph" w:styleId="ListParagraph">
    <w:name w:val="List Paragraph"/>
    <w:basedOn w:val="Normal"/>
    <w:uiPriority w:val="34"/>
    <w:qFormat/>
    <w:rsid w:val="00f87a76"/>
    <w:pPr>
      <w:ind w:firstLine="420"/>
    </w:pPr>
    <w:rPr/>
  </w:style>
  <w:style w:type="paragraph" w:styleId="BalloonText">
    <w:name w:val="Balloon Text"/>
    <w:basedOn w:val="Normal"/>
    <w:link w:val="BalloonTextChar"/>
    <w:uiPriority w:val="99"/>
    <w:qFormat/>
    <w:rsid w:val="00f87a76"/>
    <w:pPr/>
    <w:rPr>
      <w:rFonts w:cs="Tahoma"/>
      <w:sz w:val="18"/>
      <w:szCs w:val="18"/>
    </w:rPr>
  </w:style>
  <w:style w:type="paragraph" w:styleId="Annotationtext">
    <w:name w:val="annotation text"/>
    <w:basedOn w:val="Normal"/>
    <w:link w:val="CommentTextChar"/>
    <w:qFormat/>
    <w:rsid w:val="00f87a76"/>
    <w:pPr/>
    <w:rPr/>
  </w:style>
  <w:style w:type="paragraph" w:styleId="Annotationsubject">
    <w:name w:val="annotation subject"/>
    <w:basedOn w:val="Annotationtext"/>
    <w:link w:val="CommentSubjectChar"/>
    <w:qFormat/>
    <w:rsid w:val="00f87a76"/>
    <w:pPr/>
    <w:rPr>
      <w:b/>
      <w:bCs/>
    </w:rPr>
  </w:style>
  <w:style w:type="paragraph" w:styleId="NormalWeb">
    <w:name w:val="Normal (Web)"/>
    <w:basedOn w:val="Normal"/>
    <w:uiPriority w:val="99"/>
    <w:qFormat/>
    <w:rsid w:val="00f87a76"/>
    <w:pPr/>
    <w:rPr>
      <w:szCs w:val="24"/>
    </w:rPr>
  </w:style>
  <w:style w:type="paragraph" w:styleId="Bibliography">
    <w:name w:val="Bibliography"/>
    <w:basedOn w:val="Normal"/>
    <w:next w:val="Normal"/>
    <w:uiPriority w:val="37"/>
    <w:semiHidden/>
    <w:unhideWhenUsed/>
    <w:qFormat/>
    <w:rsid w:val="00f87a76"/>
    <w:pPr/>
    <w:rPr/>
  </w:style>
  <w:style w:type="paragraph" w:styleId="Caption1">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qFormat/>
    <w:rsid w:val="00f87a76"/>
    <w:pPr>
      <w:tabs>
        <w:tab w:val="left" w:pos="374" w:leader="none"/>
      </w:tabs>
      <w:snapToGrid w:val="false"/>
      <w:spacing w:lineRule="exact" w:line="220"/>
    </w:pPr>
    <w:rPr>
      <w:sz w:val="16"/>
      <w:szCs w:val="16"/>
    </w:rPr>
  </w:style>
  <w:style w:type="paragraph" w:styleId="Endnotetext">
    <w:name w:val="endnote text"/>
    <w:basedOn w:val="Normal"/>
    <w:link w:val="EndnoteTextChar"/>
    <w:qFormat/>
    <w:rsid w:val="00f87a76"/>
    <w:pPr>
      <w:spacing w:lineRule="auto" w:line="360"/>
    </w:pPr>
    <w:rPr>
      <w:szCs w:val="24"/>
      <w:lang w:val="en-GB" w:eastAsia="ar-SA"/>
    </w:rPr>
  </w:style>
  <w:style w:type="paragraph" w:styleId="Footer">
    <w:name w:val="Footer"/>
    <w:basedOn w:val="Normal"/>
    <w:link w:val="FooterChar"/>
    <w:uiPriority w:val="99"/>
    <w:rsid w:val="00f87a76"/>
    <w:pPr>
      <w:suppressLineNumbers/>
      <w:tabs>
        <w:tab w:val="center" w:pos="4153" w:leader="none"/>
        <w:tab w:val="right" w:pos="8306" w:leader="none"/>
      </w:tabs>
      <w:snapToGrid w:val="false"/>
      <w:spacing w:lineRule="atLeast" w:line="240"/>
    </w:pPr>
    <w:rPr>
      <w:sz w:val="18"/>
      <w:szCs w:val="18"/>
    </w:rPr>
  </w:style>
  <w:style w:type="paragraph" w:styleId="Header">
    <w:name w:val="Header"/>
    <w:basedOn w:val="Normal"/>
    <w:link w:val="HeaderChar"/>
    <w:uiPriority w:val="99"/>
    <w:rsid w:val="00f87a76"/>
    <w:pPr>
      <w:suppressLineNumbers/>
      <w:pBdr>
        <w:bottom w:val="single" w:sz="6" w:space="1" w:color="00000A"/>
      </w:pBdr>
      <w:tabs>
        <w:tab w:val="center" w:pos="4153" w:leader="none"/>
        <w:tab w:val="right" w:pos="8306" w:leader="none"/>
      </w:tabs>
      <w:snapToGrid w:val="false"/>
      <w:spacing w:lineRule="atLeast" w:line="240"/>
      <w:jc w:val="center"/>
    </w:pPr>
    <w:rPr>
      <w:sz w:val="18"/>
      <w:szCs w:val="18"/>
    </w:rPr>
  </w:style>
  <w:style w:type="paragraph" w:styleId="Mdeck4text2nd" w:customStyle="1">
    <w:name w:val="M_deck_4_text_2nd"/>
    <w:qFormat/>
    <w:rsid w:val="00da62b6"/>
    <w:pPr>
      <w:widowControl/>
      <w:bidi w:val="0"/>
      <w:snapToGrid w:val="false"/>
      <w:spacing w:lineRule="atLeast" w:line="260"/>
      <w:ind w:left="850" w:hanging="425"/>
      <w:jc w:val="both"/>
    </w:pPr>
    <w:rPr>
      <w:rFonts w:ascii="Palatino Linotype" w:hAnsi="Palatino Linotype" w:eastAsia="Times New Roman" w:cs="Times New Roman"/>
      <w:color w:val="000000"/>
      <w:sz w:val="24"/>
      <w:szCs w:val="20"/>
      <w:lang w:eastAsia="de-DE" w:bidi="en-US" w:val="en-US"/>
    </w:rPr>
  </w:style>
  <w:style w:type="paragraph" w:styleId="MDPIheadercitation" w:customStyle="1">
    <w:name w:val="MDPI_header_citation"/>
    <w:basedOn w:val="MDPI62Acknowledgments"/>
    <w:qFormat/>
    <w:rsid w:val="002220d5"/>
    <w:pPr>
      <w:spacing w:lineRule="auto" w:line="240" w:before="0" w:after="240"/>
      <w:jc w:val="left"/>
    </w:pPr>
    <w:rPr/>
  </w:style>
  <w:style w:type="paragraph" w:styleId="MDPIheaderjournallogo" w:customStyle="1">
    <w:name w:val="MDPI_header_journal_logo"/>
    <w:qFormat/>
    <w:rsid w:val="003b4e63"/>
    <w:pPr>
      <w:widowControl/>
      <w:bidi w:val="0"/>
      <w:snapToGrid w:val="false"/>
      <w:jc w:val="left"/>
    </w:pPr>
    <w:rPr>
      <w:rFonts w:ascii="Palatino Linotype" w:hAnsi="Palatino Linotype" w:eastAsia="Times New Roman" w:cs="Times New Roman"/>
      <w:i/>
      <w:color w:val="000000"/>
      <w:sz w:val="24"/>
      <w:szCs w:val="22"/>
      <w:lang w:eastAsia="de-CH" w:val="en-US" w:bidi="ar-SA"/>
    </w:rPr>
  </w:style>
  <w:style w:type="paragraph" w:styleId="Mfooter" w:customStyle="1">
    <w:name w:val="M_footer"/>
    <w:qFormat/>
    <w:rsid w:val="00f87a76"/>
    <w:pPr>
      <w:widowControl/>
      <w:bidi w:val="0"/>
      <w:spacing w:before="120" w:after="0"/>
      <w:jc w:val="center"/>
    </w:pPr>
    <w:rPr>
      <w:rFonts w:ascii="Minion Pro" w:hAnsi="Minion Pro" w:eastAsia="SimSun" w:cs="Times New Roman"/>
      <w:color w:val="000000"/>
      <w:sz w:val="24"/>
      <w:szCs w:val="20"/>
      <w:lang w:val="de-DE" w:eastAsia="zh-CN" w:bidi="ar-SA"/>
    </w:rPr>
  </w:style>
  <w:style w:type="paragraph" w:styleId="Mfooterfirstpage" w:customStyle="1">
    <w:name w:val="M_footer_firstpage"/>
    <w:basedOn w:val="Mfooter"/>
    <w:qFormat/>
    <w:rsid w:val="00f87a76"/>
    <w:pPr>
      <w:tabs>
        <w:tab w:val="right" w:pos="8845" w:leader="none"/>
      </w:tabs>
      <w:spacing w:lineRule="exact" w:line="160"/>
    </w:pPr>
    <w:rPr/>
  </w:style>
  <w:style w:type="paragraph" w:styleId="Mheadermdpilogo" w:customStyle="1">
    <w:name w:val="M_header_mdpi_logo"/>
    <w:qFormat/>
    <w:rsid w:val="00f87a76"/>
    <w:pPr>
      <w:widowControl/>
      <w:bidi w:val="0"/>
      <w:jc w:val="right"/>
    </w:pPr>
    <w:rPr>
      <w:rFonts w:ascii="Minion Pro" w:hAnsi="Minion Pro" w:eastAsia="SimSun" w:cs="Times New Roman"/>
      <w:color w:val="000000"/>
      <w:sz w:val="24"/>
      <w:szCs w:val="20"/>
      <w:lang w:val="de-DE" w:eastAsia="zh-CN" w:bidi="ar-SA"/>
    </w:rPr>
  </w:style>
  <w:style w:type="paragraph" w:styleId="MAcknowledgments" w:customStyle="1">
    <w:name w:val="M_Acknowledgments"/>
    <w:qFormat/>
    <w:rsid w:val="00554334"/>
    <w:pPr>
      <w:widowControl/>
      <w:bidi w:val="0"/>
      <w:spacing w:lineRule="atLeast" w:line="240" w:before="0" w:after="120"/>
      <w:jc w:val="both"/>
    </w:pPr>
    <w:rPr>
      <w:rFonts w:ascii="Minion Pro" w:hAnsi="Minion Pro" w:eastAsia="SimSun" w:cs="Times New Roman"/>
      <w:color w:val="000000"/>
      <w:sz w:val="24"/>
      <w:szCs w:val="20"/>
      <w:lang w:val="de-DE" w:eastAsia="zh-CN" w:bidi="ar-SA"/>
    </w:rPr>
  </w:style>
  <w:style w:type="paragraph" w:styleId="MDPI32textnoindent" w:customStyle="1">
    <w:name w:val="MDPI_3.2_text_no_indent"/>
    <w:basedOn w:val="MDPI31text"/>
    <w:qFormat/>
    <w:rsid w:val="00b65a10"/>
    <w:pPr>
      <w:ind w:hanging="0"/>
    </w:pPr>
    <w:rPr/>
  </w:style>
  <w:style w:type="paragraph" w:styleId="MDPI33textspaceafter" w:customStyle="1">
    <w:name w:val="MDPI_3.3_text_space_after"/>
    <w:basedOn w:val="MDPI31text"/>
    <w:qFormat/>
    <w:rsid w:val="00b65a10"/>
    <w:pPr>
      <w:spacing w:before="0" w:after="240"/>
    </w:pPr>
    <w:rPr/>
  </w:style>
  <w:style w:type="paragraph" w:styleId="MDPI34textspacebefore" w:customStyle="1">
    <w:name w:val="MDPI_3.4_text_space_before"/>
    <w:basedOn w:val="MDPI31text"/>
    <w:qFormat/>
    <w:rsid w:val="00b65a10"/>
    <w:pPr>
      <w:spacing w:before="240" w:after="0"/>
    </w:pPr>
    <w:rPr/>
  </w:style>
  <w:style w:type="paragraph" w:styleId="MDPI35textbeforelist" w:customStyle="1">
    <w:name w:val="MDPI_3.5_text_before_list"/>
    <w:basedOn w:val="MDPI31text"/>
    <w:qFormat/>
    <w:rsid w:val="00b65a10"/>
    <w:pPr>
      <w:spacing w:before="0" w:after="120"/>
    </w:pPr>
    <w:rPr/>
  </w:style>
  <w:style w:type="paragraph" w:styleId="MDPI36textafterlist" w:customStyle="1">
    <w:name w:val="MDPI_3.6_text_after_list"/>
    <w:basedOn w:val="MDPI31text"/>
    <w:qFormat/>
    <w:rsid w:val="00b65a10"/>
    <w:pPr>
      <w:spacing w:before="120" w:after="0"/>
    </w:pPr>
    <w:rPr/>
  </w:style>
  <w:style w:type="paragraph" w:styleId="MDPI37itemize" w:customStyle="1">
    <w:name w:val="MDPI_3.7_itemize"/>
    <w:basedOn w:val="MDPI31text"/>
    <w:qFormat/>
    <w:rsid w:val="000a45a9"/>
    <w:pPr>
      <w:ind w:left="425" w:hanging="425"/>
    </w:pPr>
    <w:rPr/>
  </w:style>
  <w:style w:type="paragraph" w:styleId="MDPI38bullet" w:customStyle="1">
    <w:name w:val="MDPI_3.8_bullet"/>
    <w:basedOn w:val="MDPI31text"/>
    <w:qFormat/>
    <w:rsid w:val="00b83b50"/>
    <w:pPr>
      <w:ind w:left="425" w:hanging="425"/>
    </w:pPr>
    <w:rPr/>
  </w:style>
  <w:style w:type="paragraph" w:styleId="MDPI39equation" w:customStyle="1">
    <w:name w:val="MDPI_3.9_equation"/>
    <w:basedOn w:val="MDPI31text"/>
    <w:qFormat/>
    <w:rsid w:val="00b65a10"/>
    <w:pPr>
      <w:spacing w:before="120" w:after="120"/>
      <w:ind w:left="709" w:hanging="0"/>
      <w:jc w:val="center"/>
    </w:pPr>
    <w:rPr/>
  </w:style>
  <w:style w:type="paragraph" w:styleId="MDPI3aequationnumber" w:customStyle="1">
    <w:name w:val="MDPI_3.a_equation_number"/>
    <w:basedOn w:val="MDPI31text"/>
    <w:qFormat/>
    <w:rsid w:val="000f4e0e"/>
    <w:pPr>
      <w:spacing w:lineRule="auto" w:line="240" w:before="120" w:after="120"/>
      <w:ind w:hanging="0"/>
      <w:jc w:val="right"/>
    </w:pPr>
    <w:rPr/>
  </w:style>
  <w:style w:type="paragraph" w:styleId="MDPI62Acknowledgments" w:customStyle="1">
    <w:name w:val="MDPI_6.2_Acknowledgments"/>
    <w:qFormat/>
    <w:rsid w:val="003b4e63"/>
    <w:pPr>
      <w:widowControl/>
      <w:bidi w:val="0"/>
      <w:snapToGrid w:val="false"/>
      <w:spacing w:lineRule="atLeast" w:line="200" w:before="120" w:after="0"/>
      <w:jc w:val="both"/>
    </w:pPr>
    <w:rPr>
      <w:rFonts w:ascii="Palatino Linotype" w:hAnsi="Palatino Linotype" w:eastAsia="Times New Roman" w:cs="Times New Roman"/>
      <w:color w:val="000000"/>
      <w:sz w:val="18"/>
      <w:szCs w:val="20"/>
      <w:lang w:eastAsia="de-DE" w:bidi="en-US" w:val="en-US"/>
    </w:rPr>
  </w:style>
  <w:style w:type="paragraph" w:styleId="MDPI41tablecaption" w:customStyle="1">
    <w:name w:val="MDPI_4.1_table_caption"/>
    <w:basedOn w:val="MDPI62Acknowledgments"/>
    <w:qFormat/>
    <w:rsid w:val="00db75ff"/>
    <w:pPr>
      <w:spacing w:lineRule="atLeast" w:line="260" w:before="240" w:after="120"/>
      <w:ind w:left="425" w:right="425" w:hanging="0"/>
    </w:pPr>
    <w:rPr>
      <w:szCs w:val="22"/>
    </w:rPr>
  </w:style>
  <w:style w:type="paragraph" w:styleId="MDPI42tablebody" w:customStyle="1">
    <w:name w:val="MDPI_4.2_table_body"/>
    <w:qFormat/>
    <w:rsid w:val="003b4e63"/>
    <w:pPr>
      <w:widowControl/>
      <w:bidi w:val="0"/>
      <w:snapToGrid w:val="false"/>
      <w:jc w:val="left"/>
    </w:pPr>
    <w:rPr>
      <w:rFonts w:ascii="Palatino Linotype" w:hAnsi="Palatino Linotype" w:eastAsia="Times New Roman" w:cs="Times New Roman"/>
      <w:color w:val="000000"/>
      <w:sz w:val="24"/>
      <w:szCs w:val="20"/>
      <w:lang w:eastAsia="de-DE" w:bidi="en-US" w:val="en-US"/>
    </w:rPr>
  </w:style>
  <w:style w:type="paragraph" w:styleId="MDPI43tablefooter" w:customStyle="1">
    <w:name w:val="MDPI_4.3_table_footer"/>
    <w:basedOn w:val="MDPI41tablecaption"/>
    <w:qFormat/>
    <w:rsid w:val="00b65a10"/>
    <w:pPr>
      <w:spacing w:before="0" w:after="120"/>
      <w:ind w:left="0" w:right="0" w:hanging="0"/>
    </w:pPr>
    <w:rPr/>
  </w:style>
  <w:style w:type="paragraph" w:styleId="MDPI51figurecaption" w:customStyle="1">
    <w:name w:val="MDPI_5.1_figure_caption"/>
    <w:basedOn w:val="MDPI62Acknowledgments"/>
    <w:qFormat/>
    <w:rsid w:val="003b4e63"/>
    <w:pPr>
      <w:spacing w:lineRule="atLeast" w:line="260" w:before="120" w:after="240"/>
      <w:ind w:left="425" w:right="425" w:hanging="0"/>
    </w:pPr>
    <w:rPr/>
  </w:style>
  <w:style w:type="paragraph" w:styleId="MDPI52figure" w:customStyle="1">
    <w:name w:val="MDPI_5.2_figure"/>
    <w:qFormat/>
    <w:rsid w:val="00b65a10"/>
    <w:pPr>
      <w:widowControl/>
      <w:bidi w:val="0"/>
      <w:jc w:val="center"/>
    </w:pPr>
    <w:rPr>
      <w:rFonts w:ascii="Palatino Linotype" w:hAnsi="Palatino Linotype" w:eastAsia="Times New Roman" w:cs="Times New Roman"/>
      <w:color w:val="000000"/>
      <w:sz w:val="24"/>
      <w:szCs w:val="20"/>
      <w:lang w:eastAsia="de-DE" w:bidi="en-US" w:val="en-US"/>
    </w:rPr>
  </w:style>
  <w:style w:type="paragraph" w:styleId="MDPI61Supplementary" w:customStyle="1">
    <w:name w:val="MDPI_6.1_Supplementary"/>
    <w:basedOn w:val="MDPI62Acknowledgments"/>
    <w:qFormat/>
    <w:rsid w:val="00b65a10"/>
    <w:pPr>
      <w:spacing w:before="240" w:after="0"/>
    </w:pPr>
    <w:rPr>
      <w:lang w:eastAsia="en-US"/>
    </w:rPr>
  </w:style>
  <w:style w:type="paragraph" w:styleId="MDPI63AuthorContributions" w:customStyle="1">
    <w:name w:val="MDPI_6.3_AuthorContributions"/>
    <w:basedOn w:val="MDPI62Acknowledgments"/>
    <w:qFormat/>
    <w:rsid w:val="00b65a10"/>
    <w:pPr/>
    <w:rPr>
      <w:rFonts w:eastAsia="SimSun"/>
      <w:color w:val="00000A"/>
      <w:lang w:eastAsia="en-US"/>
    </w:rPr>
  </w:style>
  <w:style w:type="paragraph" w:styleId="MDPI64CoI" w:customStyle="1">
    <w:name w:val="MDPI_6.4_CoI"/>
    <w:basedOn w:val="MDPI62Acknowledgments"/>
    <w:qFormat/>
    <w:rsid w:val="00b65a10"/>
    <w:pPr/>
    <w:rPr/>
  </w:style>
  <w:style w:type="paragraph" w:styleId="MDPI72Copyright" w:customStyle="1">
    <w:name w:val="MDPI_7.2_Copyright"/>
    <w:basedOn w:val="MDPI71References"/>
    <w:qFormat/>
    <w:rsid w:val="00ce10a1"/>
    <w:pPr>
      <w:spacing w:before="400" w:after="0"/>
    </w:pPr>
    <w:rPr>
      <w:spacing w:val="-2"/>
      <w:lang w:val="en-GB" w:eastAsia="en-GB" w:bidi="ar-SA"/>
    </w:rPr>
  </w:style>
  <w:style w:type="paragraph" w:styleId="MDPI73CopyrightImage" w:customStyle="1">
    <w:name w:val="MDPI_7.3_CopyrightImage"/>
    <w:qFormat/>
    <w:rsid w:val="003b4e63"/>
    <w:pPr>
      <w:widowControl/>
      <w:bidi w:val="0"/>
      <w:snapToGrid w:val="false"/>
      <w:spacing w:before="0" w:after="100"/>
      <w:jc w:val="right"/>
    </w:pPr>
    <w:rPr>
      <w:rFonts w:eastAsia="Times New Roman" w:ascii="Times New Roman" w:hAnsi="Times New Roman" w:cs="Times New Roman"/>
      <w:color w:val="000000"/>
      <w:sz w:val="24"/>
      <w:szCs w:val="20"/>
      <w:lang w:eastAsia="de-CH" w:val="en-US" w:bidi="ar-SA"/>
    </w:rPr>
  </w:style>
  <w:style w:type="paragraph" w:styleId="MDPI81theorem" w:customStyle="1">
    <w:name w:val="MDPI_8.1_theorem"/>
    <w:basedOn w:val="MDPI32textnoindent"/>
    <w:qFormat/>
    <w:rsid w:val="00b65a10"/>
    <w:pPr/>
    <w:rPr>
      <w:i/>
    </w:rPr>
  </w:style>
  <w:style w:type="paragraph" w:styleId="MDPI82proof" w:customStyle="1">
    <w:name w:val="MDPI_8.2_proof"/>
    <w:basedOn w:val="MDPI32textnoindent"/>
    <w:qFormat/>
    <w:rsid w:val="00cf28b7"/>
    <w:pPr/>
    <w:rPr/>
  </w:style>
  <w:style w:type="paragraph" w:styleId="MDPIfooter" w:customStyle="1">
    <w:name w:val="MDPI_footer"/>
    <w:qFormat/>
    <w:rsid w:val="003b4e63"/>
    <w:pPr>
      <w:widowControl/>
      <w:bidi w:val="0"/>
      <w:snapToGrid w:val="false"/>
      <w:spacing w:before="120" w:after="0"/>
      <w:jc w:val="center"/>
    </w:pPr>
    <w:rPr>
      <w:rFonts w:ascii="Palatino Linotype" w:hAnsi="Palatino Linotype" w:eastAsia="Times New Roman" w:cs="Times New Roman"/>
      <w:color w:val="auto"/>
      <w:sz w:val="24"/>
      <w:szCs w:val="20"/>
      <w:lang w:eastAsia="de-DE" w:val="en-US" w:bidi="ar-SA"/>
    </w:rPr>
  </w:style>
  <w:style w:type="paragraph" w:styleId="MDPIfooterfirstpage" w:customStyle="1">
    <w:name w:val="MDPI_footer_firstpage"/>
    <w:basedOn w:val="MDPIfooter"/>
    <w:qFormat/>
    <w:rsid w:val="002220d5"/>
    <w:pPr>
      <w:tabs>
        <w:tab w:val="right" w:pos="8845" w:leader="none"/>
      </w:tabs>
      <w:spacing w:lineRule="exact" w:line="160"/>
      <w:jc w:val="left"/>
    </w:pPr>
    <w:rPr>
      <w:sz w:val="16"/>
    </w:rPr>
  </w:style>
  <w:style w:type="paragraph" w:styleId="MDPI31text" w:customStyle="1">
    <w:name w:val="MDPI_3.1_text"/>
    <w:qFormat/>
    <w:rsid w:val="003b4e63"/>
    <w:pPr>
      <w:widowControl/>
      <w:bidi w:val="0"/>
      <w:snapToGrid w:val="false"/>
      <w:spacing w:lineRule="atLeast" w:line="260"/>
      <w:ind w:firstLine="425"/>
      <w:jc w:val="both"/>
    </w:pPr>
    <w:rPr>
      <w:rFonts w:ascii="Palatino Linotype" w:hAnsi="Palatino Linotype" w:eastAsia="Times New Roman" w:cs="Times New Roman"/>
      <w:color w:val="000000"/>
      <w:sz w:val="24"/>
      <w:szCs w:val="22"/>
      <w:lang w:eastAsia="de-DE" w:bidi="en-US" w:val="en-US"/>
    </w:rPr>
  </w:style>
  <w:style w:type="paragraph" w:styleId="MDPI23heading3" w:customStyle="1">
    <w:name w:val="MDPI_2.3_heading3"/>
    <w:basedOn w:val="MDPI31text"/>
    <w:qFormat/>
    <w:rsid w:val="004b664f"/>
    <w:pPr>
      <w:spacing w:before="240" w:after="120"/>
      <w:ind w:hanging="0"/>
      <w:jc w:val="left"/>
      <w:outlineLvl w:val="2"/>
    </w:pPr>
    <w:rPr/>
  </w:style>
  <w:style w:type="paragraph" w:styleId="MDPI21heading1" w:customStyle="1">
    <w:name w:val="MDPI_2.1_heading1"/>
    <w:basedOn w:val="MDPI23heading3"/>
    <w:qFormat/>
    <w:rsid w:val="004b664f"/>
    <w:pPr>
      <w:outlineLvl w:val="0"/>
    </w:pPr>
    <w:rPr>
      <w:b/>
    </w:rPr>
  </w:style>
  <w:style w:type="paragraph" w:styleId="MDPI22heading2" w:customStyle="1">
    <w:name w:val="MDPI_2.2_heading2"/>
    <w:basedOn w:val="MDPItext"/>
    <w:qFormat/>
    <w:rsid w:val="004b664f"/>
    <w:pPr>
      <w:spacing w:lineRule="atLeast" w:line="260" w:before="240" w:after="120"/>
      <w:ind w:left="0" w:right="0" w:hanging="0"/>
      <w:jc w:val="left"/>
      <w:outlineLvl w:val="1"/>
    </w:pPr>
    <w:rPr>
      <w:rFonts w:ascii="Palatino Linotype" w:hAnsi="Palatino Linotype"/>
      <w:i/>
      <w:sz w:val="20"/>
    </w:rPr>
  </w:style>
  <w:style w:type="paragraph" w:styleId="MDPI71References" w:customStyle="1">
    <w:name w:val="MDPI_7.1_References"/>
    <w:basedOn w:val="MDPI62Acknowledgments"/>
    <w:qFormat/>
    <w:rsid w:val="004c71c5"/>
    <w:pPr>
      <w:spacing w:lineRule="atLeast" w:line="260" w:before="0" w:after="0"/>
      <w:ind w:left="425" w:hanging="425"/>
    </w:pPr>
    <w:rPr/>
  </w:style>
  <w:style w:type="paragraph" w:styleId="MDPIheadermdpilogo" w:customStyle="1">
    <w:name w:val="MDPI_header_mdpi_logo"/>
    <w:qFormat/>
    <w:rsid w:val="003b4e63"/>
    <w:pPr>
      <w:widowControl/>
      <w:bidi w:val="0"/>
      <w:snapToGrid w:val="false"/>
      <w:jc w:val="right"/>
    </w:pPr>
    <w:rPr>
      <w:rFonts w:ascii="Palatino Linotype" w:hAnsi="Palatino Linotype" w:eastAsia="Times New Roman" w:cs="Times New Roman"/>
      <w:color w:val="000000"/>
      <w:sz w:val="24"/>
      <w:szCs w:val="22"/>
      <w:lang w:eastAsia="de-CH" w:val="en-US" w:bidi="ar-SA"/>
    </w:rPr>
  </w:style>
  <w:style w:type="paragraph" w:styleId="MDPI411onetablecaption" w:customStyle="1">
    <w:name w:val="MDPI_4.1.1_one_table_caption"/>
    <w:basedOn w:val="Normal"/>
    <w:qFormat/>
    <w:rsid w:val="009136f9"/>
    <w:pPr>
      <w:snapToGrid w:val="false"/>
      <w:spacing w:lineRule="atLeast" w:line="260" w:before="120" w:after="240"/>
      <w:jc w:val="center"/>
    </w:pPr>
    <w:rPr>
      <w:rFonts w:ascii="Palatino Linotype" w:hAnsi="Palatino Linotype"/>
      <w:sz w:val="18"/>
      <w:szCs w:val="22"/>
      <w:lang w:bidi="en-US"/>
    </w:rPr>
  </w:style>
  <w:style w:type="paragraph" w:styleId="MDPI511onefigurecaption" w:customStyle="1">
    <w:name w:val="MDPI_5.1.1_one_figure_caption"/>
    <w:basedOn w:val="Normal"/>
    <w:qFormat/>
    <w:rsid w:val="009136f9"/>
    <w:pPr>
      <w:snapToGrid w:val="false"/>
      <w:spacing w:lineRule="atLeast" w:line="260" w:before="120" w:after="240"/>
      <w:jc w:val="center"/>
    </w:pPr>
    <w:rPr>
      <w:rFonts w:ascii="Palatino Linotype" w:hAnsi="Palatino Linotype"/>
      <w:sz w:val="18"/>
      <w:lang w:bidi="en-US"/>
    </w:rPr>
  </w:style>
  <w:style w:type="paragraph" w:styleId="MDPItext" w:customStyle="1">
    <w:name w:val="MDPI_text"/>
    <w:basedOn w:val="Mdeck4text"/>
    <w:qFormat/>
    <w:rsid w:val="006c7d91"/>
    <w:pPr>
      <w:ind w:left="425" w:right="425" w:firstLine="425"/>
    </w:pPr>
    <w:rPr>
      <w:sz w:val="22"/>
      <w:szCs w:val="22"/>
    </w:rPr>
  </w:style>
  <w:style w:type="paragraph" w:styleId="MDPItitle" w:customStyle="1">
    <w:name w:val="MDPI_title"/>
    <w:qFormat/>
    <w:rsid w:val="003b4e63"/>
    <w:pPr>
      <w:widowControl/>
      <w:bidi w:val="0"/>
      <w:snapToGrid w:val="false"/>
      <w:spacing w:before="0" w:after="240"/>
      <w:jc w:val="left"/>
    </w:pPr>
    <w:rPr>
      <w:rFonts w:eastAsia="Times New Roman" w:ascii="Times New Roman" w:hAnsi="Times New Roman" w:cs="Times New Roman"/>
      <w:b/>
      <w:color w:val="000000"/>
      <w:sz w:val="36"/>
      <w:szCs w:val="20"/>
      <w:lang w:eastAsia="de-DE" w:bidi="en-US" w:val="en-US"/>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Mdeck5tablebodythreelines">
    <w:name w:val="M_deck_5_table_body_three_lines"/>
    <w:basedOn w:val="TableNormal"/>
    <w:uiPriority w:val="99"/>
    <w:rsid w:val="00da62b6"/>
    <w:pPr>
      <w:snapToGrid w:val="0"/>
      <w:spacing w:line="300" w:lineRule="exact"/>
      <w:jc w:val="center"/>
    </w:pPr>
    <w:rPr>
      <w:lang w:val="de-DE" w:eastAsia="de-DE"/>
    </w:rPr>
    <w:tblPr>
      <w:tblBorders>
        <w:bottom w:val="single" w:color="auto" w:sz="8" w:space="0"/>
      </w:tblBorders>
    </w:tblPr>
    <w:tcPr>
      <w:vAlign w:val="center"/>
    </w:tcPr>
    <w:tblStylePr w:type="firstRow">
      <w:pPr>
        <w:wordWrap/>
        <w:ind w:right="0" w:rightChars="0"/>
        <w:snapToGrid w:val="0"/>
        <w:spacing w:beforeLines="0" w:afterLines="0" w:line="300" w:lineRule="exact"/>
        <w:jc w:val="center"/>
      </w:pPr>
      <w:rPr>
        <w:b w:val="0"/>
        <w:i w:val="0"/>
        <w:sz w:val="22"/>
      </w:rPr>
      <w:tblPr/>
      <w:tcPr>
        <w:tcBorders>
          <w:top w:val="single" w:color="auto" w:sz="8" w:space="0"/>
          <w:left w:val="nil"/>
          <w:bottom w:val="single" w:color="auto" w:sz="4" w:space="0"/>
          <w:right w:val="nil"/>
          <w:insideH w:val="nil"/>
          <w:insideV w:val="nil"/>
          <w:tl2br w:val="nil"/>
          <w:tr2bl w:val="nil"/>
        </w:tcBorders>
      </w:tcPr>
    </w:tblStylePr>
  </w:style>
  <w:style w:type="table" w:styleId="TableGrid">
    <w:name w:val="Table Grid"/>
    <w:basedOn w:val="TableNormal"/>
    <w:uiPriority w:val="59"/>
    <w:rsid w:val="00f87a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6AC74-8F76-4349-88E4-F8CAEF6C9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LibreOffice/5.3.1.2$Linux_X86_64 LibreOffice_project/30m0$Build-2</Application>
  <Pages>16</Pages>
  <Words>7377</Words>
  <Characters>40735</Characters>
  <CharactersWithSpaces>47978</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2018-03-16T20:05:00Z</dcterms:created>
  <dc:creator>1</dc:creator>
  <dc:description/>
  <dc:language>en-CA</dc:language>
  <cp:lastModifiedBy/>
  <cp:lastPrinted>2018-03-16T20:07:00Z</cp:lastPrinted>
  <dcterms:modified xsi:type="dcterms:W3CDTF">2018-03-20T11:55:35Z</dcterms:modified>
  <cp:revision>4</cp:revision>
  <dc:subject/>
  <dc:title>Type of the Paper (Article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