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C9D" w:rsidRPr="007F45A1" w:rsidRDefault="00AB3F8C" w:rsidP="00674715">
      <w:pPr>
        <w:pStyle w:val="Heading1"/>
        <w:spacing w:line="360" w:lineRule="auto"/>
        <w:rPr>
          <w:rFonts w:ascii="Times New Roman" w:hAnsi="Times New Roman" w:cs="Times New Roman"/>
        </w:rPr>
      </w:pPr>
      <w:r w:rsidRPr="007F45A1">
        <w:rPr>
          <w:rFonts w:ascii="Times New Roman" w:hAnsi="Times New Roman" w:cs="Times New Roman"/>
        </w:rPr>
        <w:t>Moral Necessity and the Implementation of Modernity</w:t>
      </w:r>
    </w:p>
    <w:p w:rsidR="00AB3F8C" w:rsidRPr="007F45A1" w:rsidRDefault="00B3575F" w:rsidP="00674715">
      <w:pPr>
        <w:spacing w:line="360" w:lineRule="auto"/>
        <w:rPr>
          <w:rFonts w:ascii="Times New Roman" w:hAnsi="Times New Roman" w:cs="Times New Roman"/>
          <w:i/>
        </w:rPr>
      </w:pPr>
      <w:r w:rsidRPr="007F45A1">
        <w:rPr>
          <w:rFonts w:ascii="Times New Roman" w:hAnsi="Times New Roman" w:cs="Times New Roman"/>
          <w:i/>
        </w:rPr>
        <w:t>for blind review</w:t>
      </w:r>
    </w:p>
    <w:p w:rsidR="00AB3F8C" w:rsidRPr="007F45A1" w:rsidRDefault="00AB3F8C" w:rsidP="00674715">
      <w:pPr>
        <w:spacing w:line="360" w:lineRule="auto"/>
        <w:rPr>
          <w:rFonts w:ascii="Times New Roman" w:hAnsi="Times New Roman" w:cs="Times New Roman"/>
        </w:rPr>
      </w:pPr>
      <w:r w:rsidRPr="007F45A1">
        <w:rPr>
          <w:rFonts w:ascii="Times New Roman" w:hAnsi="Times New Roman" w:cs="Times New Roman"/>
          <w:b/>
        </w:rPr>
        <w:t xml:space="preserve">Abstract: </w:t>
      </w:r>
      <w:r w:rsidR="00FF2064" w:rsidRPr="007F45A1">
        <w:rPr>
          <w:rFonts w:ascii="Times New Roman" w:hAnsi="Times New Roman" w:cs="Times New Roman"/>
        </w:rPr>
        <w:t xml:space="preserve">Analytic </w:t>
      </w:r>
      <w:r w:rsidRPr="007F45A1">
        <w:rPr>
          <w:rFonts w:ascii="Times New Roman" w:hAnsi="Times New Roman" w:cs="Times New Roman"/>
        </w:rPr>
        <w:t xml:space="preserve">and continental philosophy follow research programs with respect to moral responsibility that are sometimes perceived to be incommensurable. An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w:t>
      </w:r>
      <w:r w:rsidR="00FF2064" w:rsidRPr="007F45A1">
        <w:rPr>
          <w:rFonts w:ascii="Times New Roman" w:hAnsi="Times New Roman" w:cs="Times New Roman"/>
        </w:rPr>
        <w:t xml:space="preserve">analytic </w:t>
      </w:r>
      <w:r w:rsidRPr="007F45A1">
        <w:rPr>
          <w:rFonts w:ascii="Times New Roman" w:hAnsi="Times New Roman" w:cs="Times New Roman"/>
        </w:rPr>
        <w:t>and continental philosophy.</w:t>
      </w:r>
    </w:p>
    <w:p w:rsidR="00AB3F8C" w:rsidRPr="007F45A1" w:rsidRDefault="00AB3F8C" w:rsidP="00674715">
      <w:pPr>
        <w:spacing w:line="360" w:lineRule="auto"/>
        <w:rPr>
          <w:rFonts w:ascii="Times New Roman" w:hAnsi="Times New Roman" w:cs="Times New Roman"/>
        </w:rPr>
      </w:pPr>
      <w:r w:rsidRPr="007F45A1">
        <w:rPr>
          <w:rFonts w:ascii="Times New Roman" w:hAnsi="Times New Roman" w:cs="Times New Roman"/>
          <w:b/>
        </w:rPr>
        <w:t>Keywords:</w:t>
      </w:r>
      <w:r w:rsidRPr="007F45A1">
        <w:rPr>
          <w:rFonts w:ascii="Times New Roman" w:hAnsi="Times New Roman" w:cs="Times New Roman"/>
        </w:rPr>
        <w:t xml:space="preserve"> Franz Kafka; Michel Foucault; P.F. Strawson; freedom and resentment; reactive attitudes; free will; determinism; modernity; moral responsibility; contingency</w:t>
      </w:r>
    </w:p>
    <w:p w:rsidR="00AB3F8C" w:rsidRPr="007F45A1" w:rsidRDefault="00AB3F8C" w:rsidP="00674715">
      <w:pPr>
        <w:pStyle w:val="Heading2"/>
        <w:spacing w:line="360" w:lineRule="auto"/>
        <w:rPr>
          <w:rFonts w:ascii="Times New Roman" w:eastAsiaTheme="minorEastAsia" w:hAnsi="Times New Roman" w:cs="Times New Roman"/>
          <w:color w:val="auto"/>
          <w:sz w:val="21"/>
          <w:szCs w:val="21"/>
        </w:rPr>
      </w:pPr>
      <w:r w:rsidRPr="007F45A1">
        <w:rPr>
          <w:rFonts w:ascii="Times New Roman" w:hAnsi="Times New Roman" w:cs="Times New Roman"/>
          <w:lang w:eastAsia="zh-CN"/>
        </w:rPr>
        <w:t>1. Introduction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and continental philosophy have intersection points at which the tension can be more meaningfully explained.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(literally) as proof of an external world, exclaiming, “here is one hand,” and adding, as he made a certain gesture with the left, “and here is another” (Moore, 1939, 166).</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In current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ethical intuitionism has become a respectable and much-discussed position, largely because Robert Audi has skillfully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necessity in moral responsibility—not an apriori metaphysical necessity, but the type of necessity which a meaningful interaction between a human person and the outside world demands, akin to the necessity that our senses and our introspective powers do not massively and systematically deceive us.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intersection point with continental philosophy is in several respects ironic. The first line of irony is that continental thinkers such as Franz Kafka and Michel Foucault undermine ethical intuitionism by just the kind of argument that G.E. Moore presents, by holding up their hands (figuratively) and </w:t>
      </w:r>
      <w:r w:rsidR="003647CE" w:rsidRPr="007F45A1">
        <w:rPr>
          <w:rFonts w:ascii="Times New Roman" w:eastAsiaTheme="minorEastAsia" w:hAnsi="Times New Roman"/>
          <w:color w:val="auto"/>
          <w:sz w:val="21"/>
          <w:szCs w:val="21"/>
          <w:lang w:eastAsia="en-US" w:bidi="ar-SA"/>
        </w:rPr>
        <w:t xml:space="preserve">providing a descriptive </w:t>
      </w:r>
      <w:r w:rsidRPr="007F45A1">
        <w:rPr>
          <w:rFonts w:ascii="Times New Roman" w:eastAsiaTheme="minorEastAsia" w:hAnsi="Times New Roman"/>
          <w:color w:val="auto"/>
          <w:sz w:val="21"/>
          <w:szCs w:val="21"/>
          <w:lang w:eastAsia="en-US" w:bidi="ar-SA"/>
        </w:rPr>
        <w:t xml:space="preserve">account of the modern world that is immediately intuitive to a sensible modern person and yet inconsistent with the claim that there is any necessity inherent in moral responsibility. In their emphasis on description, there is no metaphysical mysticism in Kafka and Foucault on this issue, the kind of mysticism or obscurantism of which continental philosophy is sometimes accused.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 second line of irony consists in the fact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continental philosophy mixes in interesting ways at this juncture: ethical intuitionists and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such as P.F. Strawson defend moral positions more readily associated with continental philosophy; while Kafka and Foucault criticize their position aligning themselves with a more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viewpoint in the following way.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It is tempting to attribute this view more broadly to continental philosophy, but in my paper it will be primarily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who defend it.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sidDel="00FB32EB">
        <w:rPr>
          <w:rFonts w:ascii="Times New Roman" w:eastAsiaTheme="minorEastAsia" w:hAnsi="Times New Roman"/>
          <w:color w:val="auto"/>
          <w:sz w:val="21"/>
          <w:szCs w:val="21"/>
          <w:lang w:eastAsia="en-US" w:bidi="ar-SA"/>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Even though it is tempting to attribute this view more broadly to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(see, for example, the prominence of utilitarian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that “reactive attitudes remain within the bounds of reason” </w:t>
      </w:r>
      <w:r w:rsidRPr="007F45A1">
        <w:rPr>
          <w:rFonts w:ascii="Times New Roman" w:eastAsiaTheme="minorEastAsia" w:hAnsi="Times New Roman"/>
          <w:color w:val="auto"/>
          <w:sz w:val="21"/>
          <w:szCs w:val="21"/>
          <w:lang w:eastAsia="en-US" w:bidi="ar-SA"/>
        </w:rPr>
        <w:lastRenderedPageBreak/>
        <w:t>(Russell, 1992, 302), but add the element that human beings are not equipped to meet standard rationality requirements.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(one of them not a philosopher at all), but it is my intention to show how their position can be rendered intelligible in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moral philosophy and what the consequences are for moral philosophy in general.</w:t>
      </w:r>
    </w:p>
    <w:p w:rsidR="00AB3F8C" w:rsidRPr="007F45A1" w:rsidRDefault="00AB3F8C" w:rsidP="00674715">
      <w:pPr>
        <w:spacing w:line="360" w:lineRule="auto"/>
        <w:rPr>
          <w:rFonts w:ascii="Times New Roman" w:hAnsi="Times New Roman" w:cs="Times New Roman"/>
        </w:rPr>
      </w:pPr>
    </w:p>
    <w:p w:rsidR="00AB3F8C" w:rsidRPr="007F45A1" w:rsidRDefault="00AB3F8C" w:rsidP="00674715">
      <w:pPr>
        <w:pStyle w:val="Heading2"/>
        <w:spacing w:line="360" w:lineRule="auto"/>
        <w:rPr>
          <w:rFonts w:ascii="Times New Roman" w:hAnsi="Times New Roman" w:cs="Times New Roman"/>
          <w:lang w:eastAsia="zh-CN"/>
        </w:rPr>
      </w:pPr>
      <w:r w:rsidRPr="007F45A1">
        <w:rPr>
          <w:rFonts w:ascii="Times New Roman" w:hAnsi="Times New Roman" w:cs="Times New Roman"/>
          <w:lang w:eastAsia="zh-CN"/>
        </w:rPr>
        <w:t>2. Necessity of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article “Freedom and Resentment,” Strawson embarks on a mission that in many respects resembles the project of ethical intuitionists. For the rest of this paper, I will focus on Strawson (also adducing Heidegger’s perspective as a continental counterweight), but it is important to see that what happens in the field of tension between Strawson/Heidegger and Kafka/Foucault is more generally applicable to the favour currently enjoyed by ethical intuitionists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They are my true target, but I can be more specific and less abstract in explaining the line of attack by using Strawson’s argument. Just like the intuitionists, Strawson wants to show that certain inferential metaphysical theories are impotent in their power to </w:t>
      </w:r>
      <w:r w:rsidR="003647CE" w:rsidRPr="007F45A1">
        <w:rPr>
          <w:rFonts w:ascii="Times New Roman" w:eastAsiaTheme="minorEastAsia" w:hAnsi="Times New Roman"/>
          <w:color w:val="auto"/>
          <w:sz w:val="21"/>
          <w:szCs w:val="21"/>
          <w:lang w:eastAsia="en-US" w:bidi="ar-SA"/>
        </w:rPr>
        <w:t>serve as defeaters for intuitive ethical knowledge</w:t>
      </w:r>
      <w:r w:rsidRPr="007F45A1">
        <w:rPr>
          <w:rFonts w:ascii="Times New Roman" w:eastAsiaTheme="minorEastAsia" w:hAnsi="Times New Roman"/>
          <w:color w:val="auto"/>
          <w:sz w:val="21"/>
          <w:szCs w:val="21"/>
          <w:lang w:eastAsia="en-US" w:bidi="ar-SA"/>
        </w:rPr>
        <w:t xml:space="preserve">.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Strawson’s mission in moral philosophy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Antithetical to this assessment is the idea that moral agents can fully emancipate themselves from their participant attitudes and hold objective attitudes instead. Strawson goes into some detail about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sustained objectivity of inter-personal attitude, and the human isolation which that would entail, does not seem to be something of which human beings would be capable, even if some general truth were a theoretical ground for it. (Strawson, 2008, 12)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AB3F8C" w:rsidRPr="007F45A1" w:rsidRDefault="00AB3F8C" w:rsidP="003647CE">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and Foucault take up this challenge </w:t>
      </w:r>
      <w:r w:rsidR="003647CE" w:rsidRPr="007F45A1">
        <w:rPr>
          <w:rFonts w:ascii="Times New Roman" w:eastAsiaTheme="minorEastAsia" w:hAnsi="Times New Roman"/>
          <w:color w:val="auto"/>
          <w:sz w:val="21"/>
          <w:szCs w:val="21"/>
          <w:lang w:eastAsia="en-US" w:bidi="ar-SA"/>
        </w:rPr>
        <w:t xml:space="preserve">(not responding to Strawson directly, obviously) </w:t>
      </w:r>
      <w:r w:rsidRPr="007F45A1">
        <w:rPr>
          <w:rFonts w:ascii="Times New Roman" w:eastAsiaTheme="minorEastAsia" w:hAnsi="Times New Roman"/>
          <w:color w:val="auto"/>
          <w:sz w:val="21"/>
          <w:szCs w:val="21"/>
          <w:lang w:eastAsia="en-US" w:bidi="ar-SA"/>
        </w:rPr>
        <w:t xml:space="preserve">and show in which ways it is not only possible that Strawson’s dystopia is implemented but that modernity has already largely </w:t>
      </w:r>
      <w:r w:rsidRPr="007F45A1">
        <w:rPr>
          <w:rFonts w:ascii="Times New Roman" w:eastAsiaTheme="minorEastAsia" w:hAnsi="Times New Roman"/>
          <w:color w:val="auto"/>
          <w:sz w:val="21"/>
          <w:szCs w:val="21"/>
          <w:lang w:eastAsia="en-US" w:bidi="ar-SA"/>
        </w:rPr>
        <w:lastRenderedPageBreak/>
        <w:t>progressed to a state where both individuals and collectives no longer meaningfully identify as moral agents.</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For Kafka and Foucault, the alienation of modern humans from their attachment to moral responsibility </w:t>
      </w:r>
      <w:r w:rsidR="003647CE" w:rsidRPr="007F45A1">
        <w:rPr>
          <w:rFonts w:ascii="Times New Roman" w:eastAsiaTheme="minorEastAsia" w:hAnsi="Times New Roman"/>
          <w:color w:val="auto"/>
          <w:sz w:val="21"/>
          <w:szCs w:val="21"/>
          <w:lang w:eastAsia="en-US" w:bidi="ar-SA"/>
        </w:rPr>
        <w:t xml:space="preserve">is </w:t>
      </w:r>
      <w:r w:rsidRPr="007F45A1">
        <w:rPr>
          <w:rFonts w:ascii="Times New Roman" w:eastAsiaTheme="minorEastAsia" w:hAnsi="Times New Roman"/>
          <w:color w:val="auto"/>
          <w:sz w:val="21"/>
          <w:szCs w:val="21"/>
          <w:lang w:eastAsia="en-US" w:bidi="ar-SA"/>
        </w:rPr>
        <w:t>a (grim) possibility.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logical progression of this paper is served best if I first provide an account and a characterization of the way in which moral responsibility is necessary for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philosopher like P.F. Strawson; I will provide a contrasting account of this necessity in the continental philosophy of Martin Heidegger. These accounts of necessity provide a foil against which the rejection of necessity by Kafka and Foucault becomes more clearly visible.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3647CE" w:rsidRPr="007F45A1" w:rsidRDefault="003647CE" w:rsidP="00674715">
      <w:pPr>
        <w:pStyle w:val="Heading2"/>
        <w:spacing w:line="360" w:lineRule="auto"/>
        <w:rPr>
          <w:rFonts w:ascii="Times New Roman" w:hAnsi="Times New Roman" w:cs="Times New Roman"/>
          <w:lang w:eastAsia="zh-CN"/>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lang w:eastAsia="zh-CN"/>
        </w:rPr>
        <w:t xml:space="preserve">3. </w:t>
      </w:r>
      <w:r w:rsidRPr="007F45A1">
        <w:rPr>
          <w:rFonts w:ascii="Times New Roman" w:hAnsi="Times New Roman" w:cs="Times New Roman"/>
        </w:rPr>
        <w:t>Modernity and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book </w:t>
      </w:r>
      <w:r w:rsidRPr="007F45A1">
        <w:rPr>
          <w:rFonts w:ascii="Times New Roman" w:eastAsiaTheme="minorEastAsia" w:hAnsi="Times New Roman"/>
          <w:i/>
          <w:color w:val="auto"/>
          <w:sz w:val="21"/>
          <w:szCs w:val="21"/>
          <w:lang w:eastAsia="en-US" w:bidi="ar-SA"/>
        </w:rPr>
        <w:t>Being and Time</w:t>
      </w:r>
      <w:r w:rsidRPr="007F45A1">
        <w:rPr>
          <w:rFonts w:ascii="Times New Roman" w:eastAsiaTheme="minorEastAsia" w:hAnsi="Times New Roman"/>
          <w:color w:val="auto"/>
          <w:sz w:val="21"/>
          <w:szCs w:val="21"/>
          <w:lang w:eastAsia="en-US" w:bidi="ar-SA"/>
        </w:rP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r w:rsidR="003647CE" w:rsidRPr="007F45A1">
        <w:rPr>
          <w:rFonts w:ascii="Times New Roman" w:eastAsiaTheme="minorEastAsia" w:hAnsi="Times New Roman"/>
          <w:color w:val="auto"/>
          <w:sz w:val="21"/>
          <w:szCs w:val="21"/>
          <w:lang w:eastAsia="en-US" w:bidi="ar-SA"/>
        </w:rPr>
        <w:t xml:space="preserve">plum trees, </w:t>
      </w:r>
      <w:r w:rsidRPr="007F45A1">
        <w:rPr>
          <w:rFonts w:ascii="Times New Roman" w:eastAsiaTheme="minorEastAsia" w:hAnsi="Times New Roman"/>
          <w:color w:val="auto"/>
          <w:sz w:val="21"/>
          <w:szCs w:val="21"/>
          <w:lang w:eastAsia="en-US" w:bidi="ar-SA"/>
        </w:rP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Strawson, the theory of determinism is the relevant metaphysical issue circumscribing the derivative nature of moral responsibility in modern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(for ethical intuitionists, the issue is more commonly one of moral epistemology). Strawson, and again there is agreement here between Strawson and the opposition (which he calls the “pessimists”), paints a bleak picture of what would follow if as a consequence of this derivative nature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post-Strawsonian and more recent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0" w:name="wilson"/>
      <w:bookmarkEnd w:id="0"/>
      <w:r w:rsidRPr="007F45A1">
        <w:rPr>
          <w:rFonts w:ascii="Times New Roman" w:eastAsiaTheme="minorEastAsia" w:hAnsi="Times New Roman"/>
          <w:color w:val="auto"/>
          <w:sz w:val="21"/>
          <w:szCs w:val="21"/>
          <w:lang w:eastAsia="en-US" w:bidi="ar-SA"/>
        </w:rPr>
        <w:t xml:space="preserve"> Philosophers have taken up this challenge in addressing ‘debunking arguments’ from evolutionary theory towards ethics and morality (see Wilkins, 2010; Brosnan, 2010; Kahane, 2011).</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Bernard Williams has given voice to this type of skepticism about the ongoing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in moral theory in </w:t>
      </w:r>
      <w:r w:rsidRPr="007F45A1">
        <w:rPr>
          <w:rFonts w:ascii="Times New Roman" w:eastAsiaTheme="minorEastAsia" w:hAnsi="Times New Roman"/>
          <w:i/>
          <w:color w:val="auto"/>
          <w:sz w:val="21"/>
          <w:szCs w:val="21"/>
          <w:lang w:eastAsia="en-US" w:bidi="ar-SA"/>
        </w:rPr>
        <w:t xml:space="preserve">Ethics and the Limits of </w:t>
      </w:r>
      <w:r w:rsidRPr="007F45A1">
        <w:rPr>
          <w:rFonts w:ascii="Times New Roman" w:eastAsiaTheme="minorEastAsia" w:hAnsi="Times New Roman"/>
          <w:i/>
          <w:color w:val="auto"/>
          <w:sz w:val="21"/>
          <w:szCs w:val="21"/>
          <w:lang w:eastAsia="en-US" w:bidi="ar-SA"/>
        </w:rPr>
        <w:lastRenderedPageBreak/>
        <w:t>Philosophy</w:t>
      </w:r>
      <w:r w:rsidRPr="007F45A1">
        <w:rPr>
          <w:rFonts w:ascii="Times New Roman" w:eastAsiaTheme="minorEastAsia" w:hAnsi="Times New Roman"/>
          <w:color w:val="auto"/>
          <w:sz w:val="21"/>
          <w:szCs w:val="21"/>
          <w:lang w:eastAsia="en-US" w:bidi="ar-SA"/>
        </w:rPr>
        <w:t xml:space="preserve"> (1985), where he traces “distinctive features of morality [to] closely related processes of modernization” (8).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Williams is critical of Alasdair MacIntyre and the latter’s project of returning to a more Aristotelian view of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example in </w:t>
      </w:r>
      <w:r w:rsidRPr="007F45A1">
        <w:rPr>
          <w:rFonts w:ascii="Times New Roman" w:eastAsiaTheme="minorEastAsia" w:hAnsi="Times New Roman"/>
          <w:i/>
          <w:color w:val="auto"/>
          <w:sz w:val="21"/>
          <w:szCs w:val="21"/>
          <w:lang w:eastAsia="en-US" w:bidi="ar-SA"/>
        </w:rPr>
        <w:t>The Task of Philosophy</w:t>
      </w:r>
      <w:r w:rsidRPr="007F45A1">
        <w:rPr>
          <w:rFonts w:ascii="Times New Roman" w:eastAsiaTheme="minorEastAsia" w:hAnsi="Times New Roman"/>
          <w:color w:val="auto"/>
          <w:sz w:val="21"/>
          <w:szCs w:val="21"/>
          <w:lang w:eastAsia="en-US" w:bidi="ar-SA"/>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w:t>
      </w: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lang w:eastAsia="zh-CN"/>
        </w:rPr>
        <w:t xml:space="preserve">4. </w:t>
      </w:r>
      <w:r w:rsidRPr="007F45A1">
        <w:rPr>
          <w:rFonts w:ascii="Times New Roman" w:hAnsi="Times New Roman" w:cs="Times New Roman"/>
        </w:rPr>
        <w:t>Implementation of Modernity</w:t>
      </w:r>
    </w:p>
    <w:p w:rsidR="00AB3F8C" w:rsidRPr="007F45A1" w:rsidRDefault="00AB3F8C" w:rsidP="00674715">
      <w:pPr>
        <w:pStyle w:val="MDPI31text"/>
        <w:spacing w:line="360" w:lineRule="auto"/>
        <w:ind w:firstLine="42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the following, I will discuss pushback against the insistence on necessity for moral responsibility. The insistence is undermined in particular by specific features of modernity. </w:t>
      </w:r>
      <w:r w:rsidR="003647CE" w:rsidRPr="007F45A1">
        <w:rPr>
          <w:rFonts w:ascii="Times New Roman" w:eastAsiaTheme="minorEastAsia" w:hAnsi="Times New Roman"/>
          <w:color w:val="auto"/>
          <w:sz w:val="21"/>
          <w:szCs w:val="21"/>
          <w:lang w:eastAsia="en-US" w:bidi="ar-SA"/>
        </w:rPr>
        <w:t>These features</w:t>
      </w:r>
      <w:r w:rsidRPr="007F45A1">
        <w:rPr>
          <w:rFonts w:ascii="Times New Roman" w:eastAsiaTheme="minorEastAsia" w:hAnsi="Times New Roman"/>
          <w:color w:val="auto"/>
          <w:sz w:val="21"/>
          <w:szCs w:val="21"/>
          <w:lang w:eastAsia="en-US" w:bidi="ar-SA"/>
        </w:rPr>
        <w:t xml:space="preserve"> withdraw from normative beliefs essential supports in facts that were previously assumed in a quasi-axiomatic fashion</w:t>
      </w:r>
      <w:r w:rsidR="003647CE" w:rsidRPr="007F45A1">
        <w:rPr>
          <w:rFonts w:ascii="Times New Roman" w:eastAsiaTheme="minorEastAsia" w:hAnsi="Times New Roman"/>
          <w:color w:val="auto"/>
          <w:sz w:val="21"/>
          <w:szCs w:val="21"/>
          <w:lang w:eastAsia="en-US" w:bidi="ar-SA"/>
        </w:rPr>
        <w:t xml:space="preserve"> (they were considered ‘natural’)</w:t>
      </w:r>
      <w:r w:rsidRPr="007F45A1">
        <w:rPr>
          <w:rFonts w:ascii="Times New Roman" w:eastAsiaTheme="minorEastAsia" w:hAnsi="Times New Roman"/>
          <w:color w:val="auto"/>
          <w:sz w:val="21"/>
          <w:szCs w:val="21"/>
          <w:lang w:eastAsia="en-US" w:bidi="ar-SA"/>
        </w:rPr>
        <w:t xml:space="preserve">. These essential supports include such items as hierarchical organization, integrity of the self, possibilities for self-knowledge, the supremacy of reason over the will, and the assumption that the establishment of norms and values is primarily an exercise in metaphysics. That these essential supports for normative beliefs can no longer be relied on is a narrow selection of phenomena that we call modern; I have chosen them because they find an echo in Kafka’s literature and they are tributaries to if not the collapse </w:t>
      </w:r>
      <w:bookmarkStart w:id="1" w:name="imp"/>
      <w:bookmarkEnd w:id="1"/>
      <w:r w:rsidRPr="007F45A1">
        <w:rPr>
          <w:rFonts w:ascii="Times New Roman" w:eastAsiaTheme="minorEastAsia" w:hAnsi="Times New Roman"/>
          <w:color w:val="auto"/>
          <w:sz w:val="21"/>
          <w:szCs w:val="21"/>
          <w:lang w:eastAsia="en-US" w:bidi="ar-SA"/>
        </w:rPr>
        <w:t>then certainly a problematization of moral responsibility in expressions of modern culture.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sidRPr="007F45A1">
        <w:rPr>
          <w:rFonts w:ascii="Times New Roman" w:eastAsiaTheme="minorEastAsia" w:hAnsi="Times New Roman"/>
          <w:i/>
          <w:color w:val="auto"/>
          <w:sz w:val="21"/>
          <w:szCs w:val="21"/>
          <w:lang w:eastAsia="en-US" w:bidi="ar-SA"/>
        </w:rPr>
        <w:t>The Moral Landscape: How Science Can Determine Human Values</w:t>
      </w:r>
      <w:r w:rsidRPr="007F45A1">
        <w:rPr>
          <w:rFonts w:ascii="Times New Roman" w:eastAsiaTheme="minorEastAsia" w:hAnsi="Times New Roman"/>
          <w:color w:val="auto"/>
          <w:sz w:val="21"/>
          <w:szCs w:val="21"/>
          <w:lang w:eastAsia="en-US" w:bidi="ar-SA"/>
        </w:rPr>
        <w:t xml:space="preserve">, 2010; see also Moritz Schlick, </w:t>
      </w:r>
      <w:r w:rsidRPr="007F45A1">
        <w:rPr>
          <w:rFonts w:ascii="Times New Roman" w:eastAsiaTheme="minorEastAsia" w:hAnsi="Times New Roman"/>
          <w:i/>
          <w:color w:val="auto"/>
          <w:sz w:val="21"/>
          <w:szCs w:val="21"/>
          <w:lang w:eastAsia="en-US" w:bidi="ar-SA"/>
        </w:rPr>
        <w:t>Problems of Ethics</w:t>
      </w:r>
      <w:r w:rsidRPr="007F45A1">
        <w:rPr>
          <w:rFonts w:ascii="Times New Roman" w:eastAsiaTheme="minorEastAsia" w:hAnsi="Times New Roman"/>
          <w:color w:val="auto"/>
          <w:sz w:val="21"/>
          <w:szCs w:val="21"/>
          <w:lang w:eastAsia="en-US" w:bidi="ar-SA"/>
        </w:rPr>
        <w:t>)</w:t>
      </w:r>
      <w:r w:rsidR="003647CE" w:rsidRPr="007F45A1">
        <w:rPr>
          <w:rFonts w:ascii="Times New Roman" w:eastAsiaTheme="minorEastAsia" w:hAnsi="Times New Roman"/>
          <w:color w:val="auto"/>
          <w:sz w:val="21"/>
          <w:szCs w:val="21"/>
          <w:lang w:eastAsia="en-US" w:bidi="ar-SA"/>
        </w:rPr>
        <w:t>,</w:t>
      </w:r>
      <w:r w:rsidRPr="007F45A1">
        <w:rPr>
          <w:rFonts w:ascii="Times New Roman" w:eastAsiaTheme="minorEastAsia" w:hAnsi="Times New Roman"/>
          <w:color w:val="auto"/>
          <w:sz w:val="21"/>
          <w:szCs w:val="21"/>
          <w:lang w:eastAsia="en-US" w:bidi="ar-SA"/>
        </w:rPr>
        <w:t xml:space="preserve">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Since literary criticism and locating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w:t>
      </w:r>
      <w:r w:rsidRPr="007F45A1">
        <w:rPr>
          <w:rFonts w:ascii="Times New Roman" w:eastAsiaTheme="minorEastAsia" w:hAnsi="Times New Roman"/>
          <w:color w:val="auto"/>
          <w:sz w:val="21"/>
          <w:szCs w:val="21"/>
          <w:lang w:eastAsia="en-US" w:bidi="ar-SA"/>
        </w:rPr>
        <w:lastRenderedPageBreak/>
        <w:t>in the discourse of modernity</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w:t>
      </w:r>
      <w:r w:rsidR="003647CE" w:rsidRPr="007F45A1">
        <w:rPr>
          <w:rFonts w:ascii="Times New Roman" w:eastAsiaTheme="minorEastAsia" w:hAnsi="Times New Roman"/>
          <w:color w:val="auto"/>
          <w:sz w:val="21"/>
          <w:szCs w:val="21"/>
          <w:lang w:eastAsia="en-US" w:bidi="ar-SA"/>
        </w:rPr>
        <w:t>Yet</w:t>
      </w:r>
      <w:r w:rsidRPr="007F45A1">
        <w:rPr>
          <w:rFonts w:ascii="Times New Roman" w:eastAsiaTheme="minorEastAsia" w:hAnsi="Times New Roman"/>
          <w:color w:val="auto"/>
          <w:sz w:val="21"/>
          <w:szCs w:val="21"/>
          <w:lang w:eastAsia="en-US" w:bidi="ar-SA"/>
        </w:rPr>
        <w:t>, while the courier’s mission is futile, you “sit at the window and dream of that message when evening comes.”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With this caveat in mind, I want to trace the problematization of moral responsibility and specify its contributing factors: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Hierarchy.</w:t>
      </w:r>
      <w:r w:rsidRPr="007F45A1">
        <w:rPr>
          <w:rFonts w:ascii="Times New Roman" w:eastAsiaTheme="minorEastAsia" w:hAnsi="Times New Roman"/>
          <w:color w:val="auto"/>
          <w:sz w:val="21"/>
          <w:szCs w:val="21"/>
          <w:lang w:eastAsia="en-US" w:bidi="ar-SA"/>
        </w:rPr>
        <w:t xml:space="preserve"> Normativity as traditionally conceived (i.e. in premodern ways in a Western European context) emanates from a centre. W.B. Yeats has prominently placed the collapse of the centre in his description of modernity in the poem </w:t>
      </w:r>
      <w:r w:rsidRPr="007F45A1">
        <w:rPr>
          <w:rFonts w:ascii="Times New Roman" w:eastAsiaTheme="minorEastAsia" w:hAnsi="Times New Roman"/>
          <w:i/>
          <w:color w:val="auto"/>
          <w:sz w:val="21"/>
          <w:szCs w:val="21"/>
          <w:lang w:eastAsia="en-US" w:bidi="ar-SA"/>
        </w:rPr>
        <w:t>The Second Coming</w:t>
      </w:r>
      <w:r w:rsidRPr="007F45A1">
        <w:rPr>
          <w:rFonts w:ascii="Times New Roman" w:eastAsiaTheme="minorEastAsia" w:hAnsi="Times New Roman"/>
          <w:color w:val="auto"/>
          <w:sz w:val="21"/>
          <w:szCs w:val="21"/>
          <w:lang w:eastAsia="en-US" w:bidi="ar-SA"/>
        </w:rPr>
        <w:t>: “Things fall apart; the centre cannot hold.” Kafka describes it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 xml:space="preserve">Integrity of the Self. </w:t>
      </w:r>
      <w:r w:rsidRPr="007F45A1">
        <w:rPr>
          <w:rFonts w:ascii="Times New Roman" w:eastAsiaTheme="minorEastAsia" w:hAnsi="Times New Roman"/>
          <w:color w:val="auto"/>
          <w:sz w:val="21"/>
          <w:szCs w:val="21"/>
          <w:lang w:eastAsia="en-US" w:bidi="ar-SA"/>
        </w:rPr>
        <w:t>Nietzsche formulates a sustained attack on the Cartesian integrity of the self and draws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Self-Knowledge.</w:t>
      </w:r>
      <w:r w:rsidRPr="007F45A1">
        <w:rPr>
          <w:rFonts w:ascii="Times New Roman" w:eastAsiaTheme="minorEastAsia" w:hAnsi="Times New Roman"/>
          <w:color w:val="auto"/>
          <w:sz w:val="21"/>
          <w:szCs w:val="21"/>
          <w:lang w:eastAsia="en-US" w:bidi="ar-SA"/>
        </w:rP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w:t>
      </w:r>
      <w:r w:rsidRPr="007F45A1">
        <w:rPr>
          <w:rFonts w:ascii="Times New Roman" w:eastAsiaTheme="minorEastAsia" w:hAnsi="Times New Roman"/>
          <w:color w:val="auto"/>
          <w:sz w:val="21"/>
          <w:szCs w:val="21"/>
          <w:lang w:eastAsia="en-US" w:bidi="ar-SA"/>
        </w:rPr>
        <w:lastRenderedPageBreak/>
        <w:t>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Supremacy of Reason over the Will.</w:t>
      </w:r>
      <w:r w:rsidRPr="007F45A1">
        <w:rPr>
          <w:rFonts w:ascii="Times New Roman" w:eastAsiaTheme="minorEastAsia" w:hAnsi="Times New Roman"/>
          <w:color w:val="auto"/>
          <w:sz w:val="21"/>
          <w:szCs w:val="21"/>
          <w:lang w:eastAsia="en-US" w:bidi="ar-SA"/>
        </w:rP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2" w:name="leiter"/>
      <w:bookmarkEnd w:id="2"/>
      <w:r w:rsidRPr="007F45A1">
        <w:rPr>
          <w:rFonts w:ascii="Times New Roman" w:eastAsiaTheme="minorEastAsia" w:hAnsi="Times New Roman"/>
          <w:color w:val="auto"/>
          <w:sz w:val="21"/>
          <w:szCs w:val="21"/>
          <w:lang w:eastAsia="en-US" w:bidi="ar-SA"/>
        </w:rPr>
        <w:t xml:space="preserve"> Kafka’s characters are full of rationalizations, especially in his novels (Joseph K.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Karl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xml:space="preserve">, and K.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It is part of their dramatic flow that the rationalizations seldom match the evolution of the plot.</w:t>
      </w:r>
    </w:p>
    <w:p w:rsidR="00AB3F8C" w:rsidRPr="007F45A1" w:rsidRDefault="00AB3F8C" w:rsidP="00674715">
      <w:pPr>
        <w:pStyle w:val="MDPI31text"/>
        <w:spacing w:line="360" w:lineRule="auto"/>
        <w:ind w:left="1145" w:firstLine="0"/>
        <w:rPr>
          <w:rFonts w:ascii="Times New Roman" w:eastAsiaTheme="minorEastAsia" w:hAnsi="Times New Roman"/>
          <w:color w:val="auto"/>
          <w:sz w:val="21"/>
          <w:szCs w:val="21"/>
          <w:lang w:eastAsia="en-US" w:bidi="ar-SA"/>
        </w:rPr>
      </w:pPr>
    </w:p>
    <w:p w:rsidR="00AB3F8C" w:rsidRPr="007F45A1" w:rsidRDefault="00AB3F8C" w:rsidP="00674715">
      <w:pPr>
        <w:pStyle w:val="MDPI31text"/>
        <w:numPr>
          <w:ilvl w:val="0"/>
          <w:numId w:val="1"/>
        </w:numPr>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Metaphysics and Normativity.</w:t>
      </w:r>
      <w:r w:rsidRPr="007F45A1">
        <w:rPr>
          <w:rFonts w:ascii="Times New Roman" w:eastAsiaTheme="minorEastAsia" w:hAnsi="Times New Roman"/>
          <w:color w:val="auto"/>
          <w:sz w:val="21"/>
          <w:szCs w:val="21"/>
          <w:lang w:eastAsia="en-US" w:bidi="ar-SA"/>
        </w:rP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168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the consequence … is a life which is to some extent free and uncontrolled. Not in any way immoral—purity of morals like those in my homeland I have hardly ever come across in my travels, nonetheless a life that stands under no present laws.</w:t>
      </w:r>
    </w:p>
    <w:p w:rsidR="003467EB" w:rsidRPr="007F45A1" w:rsidRDefault="003467EB"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The Castle, where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lastRenderedPageBreak/>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AB3F8C" w:rsidRPr="007F45A1" w:rsidRDefault="00AB3F8C" w:rsidP="00674715">
      <w:pPr>
        <w:pStyle w:val="MDPI31text"/>
        <w:spacing w:line="360" w:lineRule="auto"/>
        <w:ind w:right="720" w:firstLine="0"/>
        <w:rPr>
          <w:rFonts w:ascii="Times New Roman" w:hAnsi="Times New Roman"/>
          <w:sz w:val="18"/>
          <w:szCs w:val="18"/>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rPr>
        <w:t>5. Kafka’s Account of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 obscure French essay about Kafka, Claude-Edmonde Magny makes a compelling observation: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sidR="005138B4" w:rsidRPr="007F45A1">
        <w:rPr>
          <w:rStyle w:val="FootnoteReference"/>
          <w:rFonts w:ascii="Times New Roman" w:eastAsiaTheme="minorEastAsia" w:hAnsi="Times New Roman"/>
          <w:color w:val="auto"/>
          <w:sz w:val="18"/>
          <w:szCs w:val="18"/>
          <w:lang w:eastAsia="en-US" w:bidi="ar-SA"/>
        </w:rPr>
        <w:footnoteReference w:id="1"/>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This paper, which is committed to the view that there is philosophical insight in both the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My claim, by contrast, is that there are themes that run through Kafka’s literary output which can be captured by interpretation, translated into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xml:space="preserve">, Aristotle carefully distinguishes between different types of ignorance, especially ignorance about one’s true interests on the one hand and ignorance about particular circumstances on the other hand. The former ignorance characterizes vice, whereas the latter may </w:t>
      </w:r>
      <w:r w:rsidR="005138B4" w:rsidRPr="007F45A1">
        <w:rPr>
          <w:rFonts w:ascii="Times New Roman" w:eastAsiaTheme="minorEastAsia" w:hAnsi="Times New Roman"/>
          <w:color w:val="auto"/>
          <w:sz w:val="21"/>
          <w:szCs w:val="21"/>
          <w:lang w:eastAsia="en-US" w:bidi="ar-SA"/>
        </w:rPr>
        <w:t>countermand</w:t>
      </w:r>
      <w:r w:rsidRPr="007F45A1">
        <w:rPr>
          <w:rFonts w:ascii="Times New Roman" w:eastAsiaTheme="minorEastAsia" w:hAnsi="Times New Roman"/>
          <w:color w:val="auto"/>
          <w:sz w:val="21"/>
          <w:szCs w:val="21"/>
          <w:lang w:eastAsia="en-US" w:bidi="ar-SA"/>
        </w:rPr>
        <w:t xml:space="preserve"> it. A writer like Kafka revels in the description of moral narratives that lead these kinds of distinctions ad absurdum.</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all three novels (</w:t>
      </w:r>
      <w:r w:rsidRPr="007F45A1">
        <w:rPr>
          <w:rFonts w:ascii="Times New Roman" w:eastAsiaTheme="minorEastAsia" w:hAnsi="Times New Roman"/>
          <w:i/>
          <w:color w:val="auto"/>
          <w:sz w:val="21"/>
          <w:szCs w:val="21"/>
          <w:lang w:eastAsia="en-US" w:bidi="ar-SA"/>
        </w:rPr>
        <w:t xml:space="preserve">The Trial, Amerika,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Castle</w:t>
      </w:r>
      <w:r w:rsidRPr="007F45A1">
        <w:rPr>
          <w:rFonts w:ascii="Times New Roman" w:eastAsiaTheme="minorEastAsia" w:hAnsi="Times New Roman"/>
          <w:color w:val="auto"/>
          <w:sz w:val="21"/>
          <w:szCs w:val="21"/>
          <w:lang w:eastAsia="en-US" w:bidi="ar-SA"/>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there is a fair amount of interior ‘pep talk’ where the protagonist assures himself of his autonomy and his ability to reason in informed and logical ways; yet this innocent optimism is systematically subject to sabotage by the unfolding narrative.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While moral agents may know things, they can never be sure of things or trust their sensitivities. Knowing things does not translate into knowing that you know them. This view is incompatible with knowledge internalism, where K(X), knowing X, implies K(K(X)),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rsidRPr="007F45A1">
        <w:rPr>
          <w:rFonts w:ascii="Times New Roman" w:eastAsiaTheme="minorEastAsia" w:hAnsi="Times New Roman"/>
          <w:color w:val="auto"/>
          <w:sz w:val="21"/>
          <w:szCs w:val="21"/>
          <w:lang w:eastAsia="en-US" w:bidi="ar-SA"/>
        </w:rPr>
        <w:softHyphen/>
        <w:t xml:space="preserve">—for a man must know who he is himself,”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1111a.1), turns into the cultural malady of an epoch.</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lastRenderedPageBreak/>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sidRPr="007F45A1">
        <w:rPr>
          <w:rFonts w:ascii="Times New Roman" w:eastAsiaTheme="minorEastAsia" w:hAnsi="Times New Roman"/>
          <w:i/>
          <w:color w:val="auto"/>
          <w:sz w:val="18"/>
          <w:szCs w:val="18"/>
          <w:lang w:eastAsia="en-US" w:bidi="ar-SA"/>
        </w:rPr>
        <w:t>The Will to Power</w:t>
      </w:r>
      <w:r w:rsidRPr="007F45A1">
        <w:rPr>
          <w:rFonts w:ascii="Times New Roman" w:eastAsiaTheme="minorEastAsia" w:hAnsi="Times New Roman"/>
          <w:color w:val="auto"/>
          <w:sz w:val="18"/>
          <w:szCs w:val="18"/>
          <w:lang w:eastAsia="en-US" w:bidi="ar-SA"/>
        </w:rPr>
        <w:t>, section 477)</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which is then vitiated by future contingencies and future diffusions.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sidRPr="007F45A1">
        <w:rPr>
          <w:rFonts w:ascii="Times New Roman" w:eastAsiaTheme="minorEastAsia" w:hAnsi="Times New Roman"/>
          <w:i/>
          <w:color w:val="auto"/>
          <w:sz w:val="21"/>
          <w:szCs w:val="21"/>
          <w:lang w:eastAsia="en-US" w:bidi="ar-SA"/>
        </w:rPr>
        <w:t>Letter to His Father</w:t>
      </w:r>
      <w:r w:rsidRPr="007F45A1">
        <w:rPr>
          <w:rFonts w:ascii="Times New Roman" w:eastAsiaTheme="minorEastAsia" w:hAnsi="Times New Roman"/>
          <w:color w:val="auto"/>
          <w:sz w:val="21"/>
          <w:szCs w:val="21"/>
          <w:lang w:eastAsia="en-US" w:bidi="ar-SA"/>
        </w:rPr>
        <w:t xml:space="preserve"> when he identifies a “boundless sense of guilt” (Kafka, 1966, 68) while insisting that both he and his father are “entirely blameless” (loc. cit., 4) and declaring the “guiltlessness of us both” (loc. cit., 100).</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w:t>
      </w:r>
      <w:r w:rsidRPr="007F45A1">
        <w:rPr>
          <w:rFonts w:ascii="Times New Roman" w:eastAsiaTheme="minorEastAsia" w:hAnsi="Times New Roman"/>
          <w:color w:val="auto"/>
          <w:sz w:val="21"/>
          <w:szCs w:val="21"/>
          <w:lang w:eastAsia="en-US" w:bidi="ar-SA"/>
        </w:rPr>
        <w:lastRenderedPageBreak/>
        <w:t>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Foucault takes Nietzsche’s ideas further and explains: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B178F5" w:rsidRPr="007F45A1" w:rsidRDefault="00AB3F8C" w:rsidP="00B178F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anticipates many of Foucault’s conclusions in his literature. The enlightenment project of characterizing human life as guided by reason and by the transparency of self and nature to the third-person gaze of a human mind has failed. 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and no object for Joseph K.’s guilt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There is also no sovereign chooser of moral value as there is in existentialism. Perpetrator-subjects vanish in favour of bureaucratic concealment, as in Foucault’s modern penal system. Again, Kafka reflects this in</w:t>
      </w:r>
      <w:r w:rsidRPr="007F45A1">
        <w:rPr>
          <w:rFonts w:ascii="Times New Roman" w:eastAsiaTheme="minorEastAsia" w:hAnsi="Times New Roman"/>
          <w:i/>
          <w:color w:val="auto"/>
          <w:sz w:val="21"/>
          <w:szCs w:val="21"/>
          <w:lang w:eastAsia="en-US" w:bidi="ar-SA"/>
        </w:rPr>
        <w:t xml:space="preserve"> The Castle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Trial</w:t>
      </w:r>
      <w:r w:rsidRPr="007F45A1">
        <w:rPr>
          <w:rFonts w:ascii="Times New Roman" w:eastAsiaTheme="minorEastAsia" w:hAnsi="Times New Roman"/>
          <w:color w:val="auto"/>
          <w:sz w:val="21"/>
          <w:szCs w:val="21"/>
          <w:lang w:eastAsia="en-US" w:bidi="ar-SA"/>
        </w:rPr>
        <w:t xml:space="preserve">. Finally, moral responsibility is problematized because there is for it no epistemological access to what the relevant causal relationships are: “no one is to blame … you </w:t>
      </w:r>
      <w:r w:rsidR="00B178F5" w:rsidRPr="007F45A1">
        <w:rPr>
          <w:rFonts w:ascii="Times New Roman" w:eastAsiaTheme="minorEastAsia" w:hAnsi="Times New Roman"/>
          <w:color w:val="auto"/>
          <w:sz w:val="21"/>
          <w:szCs w:val="21"/>
          <w:lang w:eastAsia="en-US" w:bidi="ar-SA"/>
        </w:rPr>
        <w:t>haven’t found the primary cause</w:t>
      </w:r>
      <w:r w:rsidRPr="007F45A1">
        <w:rPr>
          <w:rFonts w:ascii="Times New Roman" w:eastAsiaTheme="minorEastAsia" w:hAnsi="Times New Roman"/>
          <w:color w:val="auto"/>
          <w:sz w:val="21"/>
          <w:szCs w:val="21"/>
          <w:lang w:eastAsia="en-US" w:bidi="ar-SA"/>
        </w:rPr>
        <w:t>”</w:t>
      </w:r>
      <w:r w:rsidR="00B178F5" w:rsidRPr="007F45A1">
        <w:rPr>
          <w:rFonts w:ascii="Times New Roman" w:eastAsiaTheme="minorEastAsia" w:hAnsi="Times New Roman"/>
          <w:color w:val="auto"/>
          <w:sz w:val="21"/>
          <w:szCs w:val="21"/>
          <w:lang w:eastAsia="en-US" w:bidi="ar-SA"/>
        </w:rPr>
        <w:t xml:space="preserve"> (as the narrator expresses it in Fyodor Dostoyevsky’s </w:t>
      </w:r>
      <w:bookmarkStart w:id="3" w:name="dosto"/>
      <w:bookmarkEnd w:id="3"/>
      <w:r w:rsidR="00B178F5" w:rsidRPr="007F45A1">
        <w:rPr>
          <w:rFonts w:ascii="Times New Roman" w:eastAsiaTheme="minorEastAsia" w:hAnsi="Times New Roman"/>
          <w:i/>
          <w:color w:val="auto"/>
          <w:sz w:val="21"/>
          <w:szCs w:val="21"/>
          <w:lang w:eastAsia="en-US" w:bidi="ar-SA"/>
        </w:rPr>
        <w:t>Notes from the Underground</w:t>
      </w:r>
      <w:r w:rsidR="00B178F5" w:rsidRPr="007F45A1">
        <w:rPr>
          <w:rFonts w:ascii="Times New Roman" w:eastAsiaTheme="minorEastAsia" w:hAnsi="Times New Roman"/>
          <w:color w:val="auto"/>
          <w:sz w:val="21"/>
          <w:szCs w:val="21"/>
          <w:lang w:eastAsia="en-US" w:bidi="ar-SA"/>
        </w:rPr>
        <w:t>,</w:t>
      </w:r>
      <w:r w:rsidR="00B178F5" w:rsidRPr="007F45A1">
        <w:rPr>
          <w:rStyle w:val="FootnoteReference"/>
          <w:rFonts w:ascii="Times New Roman" w:eastAsiaTheme="minorEastAsia" w:hAnsi="Times New Roman"/>
          <w:color w:val="auto"/>
          <w:sz w:val="21"/>
          <w:szCs w:val="21"/>
          <w:lang w:eastAsia="en-US" w:bidi="ar-SA"/>
        </w:rPr>
        <w:footnoteReference w:id="2"/>
      </w:r>
      <w:r w:rsidR="00B178F5" w:rsidRPr="007F45A1">
        <w:rPr>
          <w:rFonts w:ascii="Times New Roman" w:eastAsiaTheme="minorEastAsia" w:hAnsi="Times New Roman"/>
          <w:color w:val="auto"/>
          <w:sz w:val="21"/>
          <w:szCs w:val="21"/>
          <w:lang w:eastAsia="en-US" w:bidi="ar-SA"/>
        </w:rPr>
        <w:t xml:space="preserve"> see </w:t>
      </w:r>
      <w:r w:rsidR="00B178F5" w:rsidRPr="007F45A1">
        <w:rPr>
          <w:rFonts w:ascii="Times New Roman" w:eastAsiaTheme="minorEastAsia" w:hAnsi="Times New Roman"/>
          <w:color w:val="auto"/>
          <w:sz w:val="21"/>
          <w:szCs w:val="21"/>
          <w:lang w:eastAsia="en-US" w:bidi="ar-SA"/>
        </w:rPr>
        <w:t>Dostoyevsky, 2004, 18</w:t>
      </w:r>
      <w:r w:rsidR="00B178F5" w:rsidRPr="007F45A1">
        <w:rPr>
          <w:rFonts w:ascii="Times New Roman" w:eastAsiaTheme="minorEastAsia" w:hAnsi="Times New Roman"/>
          <w:color w:val="auto"/>
          <w:sz w:val="21"/>
          <w:szCs w:val="21"/>
          <w:lang w:eastAsia="en-US" w:bidi="ar-SA"/>
        </w:rPr>
        <w: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In Kafka’s </w:t>
      </w:r>
      <w:r w:rsidRPr="007F45A1">
        <w:rPr>
          <w:rFonts w:ascii="Times New Roman" w:eastAsiaTheme="minorEastAsia" w:hAnsi="Times New Roman"/>
          <w:i/>
          <w:color w:val="auto"/>
          <w:sz w:val="21"/>
          <w:szCs w:val="21"/>
          <w:lang w:eastAsia="en-US" w:bidi="ar-SA"/>
        </w:rPr>
        <w:t>Metamorphosis</w:t>
      </w:r>
      <w:r w:rsidRPr="007F45A1">
        <w:rPr>
          <w:rFonts w:ascii="Times New Roman" w:eastAsiaTheme="minorEastAsia" w:hAnsi="Times New Roman"/>
          <w:color w:val="auto"/>
          <w:sz w:val="21"/>
          <w:szCs w:val="21"/>
          <w:lang w:eastAsia="en-US" w:bidi="ar-SA"/>
        </w:rPr>
        <w:t xml:space="preserve">, Gregor “suffers in person from [the] evil consequences [of his employment], which he can no longer trace back to the original causes” (Kafka, 1995, 83).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K., “in order to obtain pardon, first had to establish guilt, and that’s precisely what they denied him at the offices” (Kafka, 1998, 214). In the short story “On the Tram,” Kafka gives expression to the epistemological crisis that precipitates a moral crisis: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another short story called “Resolutions,” Kafka concludes: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3467EB" w:rsidRPr="007F45A1" w:rsidRDefault="003467EB" w:rsidP="00674715">
      <w:pPr>
        <w:pStyle w:val="MDPI31text"/>
        <w:spacing w:line="360" w:lineRule="auto"/>
        <w:ind w:left="720" w:right="720" w:firstLine="0"/>
        <w:rPr>
          <w:rFonts w:ascii="Times New Roman" w:eastAsiaTheme="minorEastAsia" w:hAnsi="Times New Roman"/>
          <w:color w:val="auto"/>
          <w:sz w:val="18"/>
          <w:szCs w:val="18"/>
          <w:lang w:eastAsia="en-US" w:bidi="ar-SA"/>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rPr>
        <w:t>6. Conclusion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Strawson, one way in which philosophers (both optimists and pessimists) have erred is that they have subordinated prescriptive moral theory to a particular type of description, the metaphysical theory of determinism. Ethical intuitionists express their frustration to which degree technocratic “formal” epistemology has invaded moral epistemology which ought to be autonomous. On the one hand, if these voices are correct and it is in principle not possible to undermine fundamental moral commitments by high-level descriptions, then </w:t>
      </w:r>
      <w:r w:rsidRPr="007F45A1">
        <w:rPr>
          <w:rFonts w:ascii="Times New Roman" w:eastAsiaTheme="minorEastAsia" w:hAnsi="Times New Roman"/>
          <w:color w:val="auto"/>
          <w:sz w:val="21"/>
          <w:szCs w:val="21"/>
          <w:lang w:eastAsia="en-US" w:bidi="ar-SA"/>
        </w:rPr>
        <w:lastRenderedPageBreak/>
        <w:t xml:space="preserve">Kafka’s and Foucault’s project has failed. On the other hand, if Kafka and Foucault succeed in providing a persuasive account (the one a literary account, the other a philosophical account) describing just the kind of human isolation and moral alienation that Strawson and the ethical intuitionists </w:t>
      </w:r>
      <w:r w:rsidR="00B178F5" w:rsidRPr="007F45A1">
        <w:rPr>
          <w:rFonts w:ascii="Times New Roman" w:eastAsiaTheme="minorEastAsia" w:hAnsi="Times New Roman"/>
          <w:color w:val="auto"/>
          <w:sz w:val="21"/>
          <w:szCs w:val="21"/>
          <w:lang w:eastAsia="en-US" w:bidi="ar-SA"/>
        </w:rPr>
        <w:t>consider</w:t>
      </w:r>
      <w:r w:rsidRPr="007F45A1">
        <w:rPr>
          <w:rFonts w:ascii="Times New Roman" w:eastAsiaTheme="minorEastAsia" w:hAnsi="Times New Roman"/>
          <w:color w:val="auto"/>
          <w:sz w:val="21"/>
          <w:szCs w:val="21"/>
          <w:lang w:eastAsia="en-US" w:bidi="ar-SA"/>
        </w:rPr>
        <w:t xml:space="preserve"> inconceivable, then a weakness in their argument is revealed.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62Acknowledgments"/>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Acknowledgments:</w:t>
      </w:r>
      <w:r w:rsidRPr="007F45A1">
        <w:rPr>
          <w:rFonts w:ascii="Times New Roman" w:eastAsiaTheme="minorEastAsia" w:hAnsi="Times New Roman"/>
          <w:color w:val="auto"/>
          <w:sz w:val="21"/>
          <w:szCs w:val="21"/>
          <w:lang w:eastAsia="en-US" w:bidi="ar-SA"/>
        </w:rPr>
        <w:t xml:space="preserve"> This research was supported by the Social Sciences and Humanities Research Council of Canada</w:t>
      </w:r>
      <w:r w:rsidR="00B3575F" w:rsidRPr="007F45A1">
        <w:rPr>
          <w:rFonts w:ascii="Times New Roman" w:eastAsiaTheme="minorEastAsia" w:hAnsi="Times New Roman"/>
          <w:color w:val="auto"/>
          <w:sz w:val="21"/>
          <w:szCs w:val="21"/>
          <w:lang w:eastAsia="en-US" w:bidi="ar-SA"/>
        </w:rPr>
        <w:t xml:space="preserve">, grant number </w:t>
      </w:r>
      <w:r w:rsidR="00C11D11" w:rsidRPr="007F45A1">
        <w:rPr>
          <w:rFonts w:ascii="Times New Roman" w:eastAsiaTheme="minorEastAsia" w:hAnsi="Times New Roman"/>
          <w:color w:val="auto"/>
          <w:sz w:val="21"/>
          <w:szCs w:val="21"/>
          <w:lang w:eastAsia="en-US" w:bidi="ar-SA"/>
        </w:rPr>
        <w:t>1</w:t>
      </w:r>
      <w:r w:rsidR="00B3575F" w:rsidRPr="007F45A1">
        <w:rPr>
          <w:rFonts w:ascii="Times New Roman" w:eastAsiaTheme="minorEastAsia" w:hAnsi="Times New Roman"/>
          <w:color w:val="auto"/>
          <w:sz w:val="21"/>
          <w:szCs w:val="21"/>
          <w:lang w:eastAsia="en-US" w:bidi="ar-SA"/>
        </w:rPr>
        <w:t>756-2017-0286</w:t>
      </w:r>
      <w:r w:rsidRPr="007F45A1">
        <w:rPr>
          <w:rFonts w:ascii="Times New Roman" w:eastAsiaTheme="minorEastAsia" w:hAnsi="Times New Roman"/>
          <w:color w:val="auto"/>
          <w:sz w:val="21"/>
          <w:szCs w:val="21"/>
          <w:lang w:eastAsia="en-US" w:bidi="ar-SA"/>
        </w:rPr>
        <w:t>.</w:t>
      </w:r>
    </w:p>
    <w:p w:rsidR="00AB3F8C" w:rsidRPr="007F45A1" w:rsidRDefault="00AB3F8C" w:rsidP="00674715">
      <w:pPr>
        <w:pStyle w:val="MDPI64CoI"/>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b/>
          <w:color w:val="auto"/>
          <w:sz w:val="21"/>
          <w:szCs w:val="21"/>
          <w:lang w:eastAsia="en-US" w:bidi="ar-SA"/>
        </w:rPr>
        <w:t>Conflicts of Interest:</w:t>
      </w:r>
      <w:r w:rsidRPr="007F45A1">
        <w:rPr>
          <w:rFonts w:ascii="Times New Roman" w:eastAsiaTheme="minorEastAsia" w:hAnsi="Times New Roman"/>
          <w:color w:val="auto"/>
          <w:sz w:val="21"/>
          <w:szCs w:val="21"/>
          <w:lang w:eastAsia="en-US" w:bidi="ar-SA"/>
        </w:rPr>
        <w:t xml:space="preserve"> The author declares no conflict of interest.</w:t>
      </w:r>
    </w:p>
    <w:p w:rsidR="007F5F0A" w:rsidRPr="007F45A1" w:rsidRDefault="007F5F0A" w:rsidP="00674715">
      <w:pPr>
        <w:pStyle w:val="MDPI64CoI"/>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Heading2"/>
        <w:numPr>
          <w:ilvl w:val="0"/>
          <w:numId w:val="2"/>
        </w:numPr>
        <w:spacing w:line="360" w:lineRule="auto"/>
        <w:ind w:left="360"/>
        <w:rPr>
          <w:rFonts w:ascii="Times New Roman" w:eastAsiaTheme="minorEastAsia" w:hAnsi="Times New Roman" w:cs="Times New Roman"/>
        </w:rPr>
      </w:pPr>
      <w:r w:rsidRPr="007F45A1">
        <w:rPr>
          <w:rFonts w:ascii="Times New Roman" w:hAnsi="Times New Roman" w:cs="Times New Roman"/>
        </w:rPr>
        <w:t>References</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Auden, W.H. </w:t>
      </w:r>
      <w:r w:rsidRPr="007F45A1">
        <w:rPr>
          <w:rFonts w:ascii="Times New Roman" w:hAnsi="Times New Roman"/>
          <w:i/>
          <w:sz w:val="21"/>
          <w:szCs w:val="21"/>
        </w:rPr>
        <w:t>The Dyer’s Hand and Other Essays</w:t>
      </w:r>
      <w:r w:rsidRPr="007F45A1">
        <w:rPr>
          <w:rFonts w:ascii="Times New Roman" w:hAnsi="Times New Roman"/>
          <w:sz w:val="21"/>
          <w:szCs w:val="21"/>
        </w:rPr>
        <w:t>. New York, NY: Vintage Books, 1962.</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Audi, Robert. </w:t>
      </w:r>
      <w:r w:rsidRPr="007F45A1">
        <w:rPr>
          <w:rFonts w:ascii="Times New Roman" w:hAnsi="Times New Roman"/>
          <w:i/>
          <w:sz w:val="21"/>
          <w:szCs w:val="21"/>
        </w:rPr>
        <w:t>The Good in the Right: A Theory of Intuition and Intrinsic Value.</w:t>
      </w:r>
      <w:r w:rsidRPr="007F45A1">
        <w:rPr>
          <w:rFonts w:ascii="Times New Roman" w:hAnsi="Times New Roman"/>
          <w:sz w:val="21"/>
          <w:szCs w:val="21"/>
        </w:rPr>
        <w:t xml:space="preserve"> Princeton, NJ: Princeton, 2004.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Bennett, Jonathan. “Accountability.” In </w:t>
      </w:r>
      <w:r w:rsidRPr="007F45A1">
        <w:rPr>
          <w:rFonts w:ascii="Times New Roman" w:hAnsi="Times New Roman"/>
          <w:i/>
          <w:sz w:val="21"/>
          <w:szCs w:val="21"/>
        </w:rPr>
        <w:t>Philosophical Subjects</w:t>
      </w:r>
      <w:r w:rsidRPr="007F45A1">
        <w:rPr>
          <w:rFonts w:ascii="Times New Roman" w:hAnsi="Times New Roman"/>
          <w:sz w:val="21"/>
          <w:szCs w:val="21"/>
        </w:rPr>
        <w:t>, edited by Zak van Straaten, Oxford UK: Clarendon, 1980.</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Blanchot, Maurice. </w:t>
      </w:r>
      <w:r w:rsidRPr="007F45A1">
        <w:rPr>
          <w:rFonts w:ascii="Times New Roman" w:hAnsi="Times New Roman"/>
          <w:i/>
          <w:sz w:val="21"/>
          <w:szCs w:val="21"/>
        </w:rPr>
        <w:t>The Work of Fire</w:t>
      </w:r>
      <w:r w:rsidRPr="007F45A1">
        <w:rPr>
          <w:rFonts w:ascii="Times New Roman" w:hAnsi="Times New Roman"/>
          <w:sz w:val="21"/>
          <w:szCs w:val="21"/>
        </w:rPr>
        <w:t>. Stanford, CA: Stanford University, 1995.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Brosnan, Kevin. "Do the Evolutionary Origins of Our Moral Beliefs Undermine Moral Knowledge?" </w:t>
      </w:r>
      <w:r w:rsidRPr="007F45A1">
        <w:rPr>
          <w:rFonts w:ascii="Times New Roman" w:hAnsi="Times New Roman"/>
          <w:i/>
          <w:sz w:val="21"/>
          <w:szCs w:val="21"/>
        </w:rPr>
        <w:t>Biology &amp; Philosophy</w:t>
      </w:r>
      <w:r w:rsidRPr="007F45A1">
        <w:rPr>
          <w:rFonts w:ascii="Times New Roman" w:hAnsi="Times New Roman"/>
          <w:sz w:val="21"/>
          <w:szCs w:val="21"/>
        </w:rPr>
        <w:t xml:space="preserve"> 26, 1: (2011) 51–64.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Buber, Martin. “Guilt and Guilt Feelings.” In </w:t>
      </w:r>
      <w:r w:rsidRPr="007F45A1">
        <w:rPr>
          <w:rFonts w:ascii="Times New Roman" w:hAnsi="Times New Roman"/>
          <w:i/>
          <w:sz w:val="21"/>
          <w:szCs w:val="21"/>
        </w:rPr>
        <w:t>Martin Buber on Psychology and Psychotherapy</w:t>
      </w:r>
      <w:r w:rsidRPr="007F45A1">
        <w:rPr>
          <w:rFonts w:ascii="Times New Roman" w:hAnsi="Times New Roman"/>
          <w:sz w:val="21"/>
          <w:szCs w:val="21"/>
        </w:rPr>
        <w:t>, edited by Judith Buber Agassi, New York, NY: Syracuse University, 1960, 129–138.</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Churchland, Patricia. “Moral Decision-Making and the Brain.” In: </w:t>
      </w:r>
      <w:r w:rsidRPr="007F45A1">
        <w:rPr>
          <w:rFonts w:ascii="Times New Roman" w:hAnsi="Times New Roman"/>
          <w:i/>
          <w:sz w:val="21"/>
          <w:szCs w:val="21"/>
        </w:rPr>
        <w:t>Neuroethics. Defining the Issues in Theory, Practice, and Policy</w:t>
      </w:r>
      <w:r w:rsidRPr="007F45A1">
        <w:rPr>
          <w:rFonts w:ascii="Times New Roman" w:hAnsi="Times New Roman"/>
          <w:sz w:val="21"/>
          <w:szCs w:val="21"/>
        </w:rPr>
        <w:t>, edited by Judy Illes, 2006, 3–16.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Dostoyevsky, Fyodor. </w:t>
      </w:r>
      <w:r w:rsidRPr="007F45A1">
        <w:rPr>
          <w:rFonts w:ascii="Times New Roman" w:hAnsi="Times New Roman"/>
          <w:i/>
          <w:sz w:val="21"/>
          <w:szCs w:val="21"/>
        </w:rPr>
        <w:t>Notes from the Underground</w:t>
      </w:r>
      <w:r w:rsidRPr="007F45A1">
        <w:rPr>
          <w:rFonts w:ascii="Times New Roman" w:hAnsi="Times New Roman"/>
          <w:sz w:val="21"/>
          <w:szCs w:val="21"/>
        </w:rPr>
        <w:t>. Ewing, NJ: Princeton University, 2004.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Foucault, Michel. “Nietzsche, Genealogy, History.” In </w:t>
      </w:r>
      <w:r w:rsidRPr="007F45A1">
        <w:rPr>
          <w:rFonts w:ascii="Times New Roman" w:hAnsi="Times New Roman"/>
          <w:i/>
          <w:sz w:val="21"/>
          <w:szCs w:val="21"/>
        </w:rPr>
        <w:t>Language, Counter-Memory, Practice</w:t>
      </w:r>
      <w:r w:rsidRPr="007F45A1">
        <w:rPr>
          <w:rFonts w:ascii="Times New Roman" w:hAnsi="Times New Roman"/>
          <w:sz w:val="21"/>
          <w:szCs w:val="21"/>
        </w:rPr>
        <w:t>, edited by D.F. Bouchard, Ithaca, NY: Cornell University, 1977, 139–165.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Harris, Sam. </w:t>
      </w:r>
      <w:r w:rsidRPr="007F45A1">
        <w:rPr>
          <w:rFonts w:ascii="Times New Roman" w:hAnsi="Times New Roman"/>
          <w:i/>
          <w:sz w:val="21"/>
          <w:szCs w:val="21"/>
        </w:rPr>
        <w:t xml:space="preserve">The Moral Landscape: How Science Can Determine Human Values. </w:t>
      </w:r>
      <w:r w:rsidRPr="007F45A1">
        <w:rPr>
          <w:rFonts w:ascii="Times New Roman" w:hAnsi="Times New Roman"/>
          <w:sz w:val="21"/>
          <w:szCs w:val="21"/>
        </w:rPr>
        <w:t>New York, NY: Free Press, 2011.</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Letter to His Father</w:t>
      </w:r>
      <w:r w:rsidRPr="007F45A1">
        <w:rPr>
          <w:rFonts w:ascii="Times New Roman" w:hAnsi="Times New Roman"/>
          <w:sz w:val="21"/>
          <w:szCs w:val="21"/>
        </w:rPr>
        <w:t>. New York, NY: Schocken Books, 1966.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Metamorphosis, In the Penal Colony, and Other Stories</w:t>
      </w:r>
      <w:r w:rsidRPr="007F45A1">
        <w:rPr>
          <w:rFonts w:ascii="Times New Roman" w:hAnsi="Times New Roman"/>
          <w:sz w:val="21"/>
          <w:szCs w:val="21"/>
        </w:rPr>
        <w:t>. New York, NY: Schocken Books, 1995.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Castle</w:t>
      </w:r>
      <w:r w:rsidRPr="007F45A1">
        <w:rPr>
          <w:rFonts w:ascii="Times New Roman" w:hAnsi="Times New Roman"/>
          <w:sz w:val="21"/>
          <w:szCs w:val="21"/>
        </w:rPr>
        <w:t>. New York, NY: Schocken Books, 1998.</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lastRenderedPageBreak/>
        <w:t xml:space="preserve">Kahane, Guy. “Evolutionary Debunking Arguments.” </w:t>
      </w:r>
      <w:r w:rsidRPr="007F45A1">
        <w:rPr>
          <w:rFonts w:ascii="Times New Roman" w:hAnsi="Times New Roman"/>
          <w:i/>
          <w:sz w:val="21"/>
          <w:szCs w:val="21"/>
        </w:rPr>
        <w:t>Noûs</w:t>
      </w:r>
      <w:r w:rsidRPr="007F45A1">
        <w:rPr>
          <w:rFonts w:ascii="Times New Roman" w:hAnsi="Times New Roman"/>
          <w:sz w:val="21"/>
          <w:szCs w:val="21"/>
        </w:rPr>
        <w:t xml:space="preserve"> 45, 1: (2011) 103–125.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Katsafanas, Paul. “Nietzsche’s Philosophical Psychology.” 2013. Unpublished.</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Leiter, Brian. “The Paradox of Fatalism and Self-Creation in Nietzsche.” In: </w:t>
      </w:r>
      <w:r w:rsidRPr="007F45A1">
        <w:rPr>
          <w:rFonts w:ascii="Times New Roman" w:hAnsi="Times New Roman"/>
          <w:i/>
          <w:sz w:val="21"/>
          <w:szCs w:val="21"/>
        </w:rPr>
        <w:t>Willing and Nothingness: Schopenhauer as Nietzsche's Educator</w:t>
      </w:r>
      <w:r w:rsidRPr="007F45A1">
        <w:rPr>
          <w:rFonts w:ascii="Times New Roman" w:hAnsi="Times New Roman"/>
          <w:sz w:val="21"/>
          <w:szCs w:val="21"/>
        </w:rPr>
        <w:t>, edited by Christopher Janaway, (1998) 217–257.</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MacIntyre, Alasdair. </w:t>
      </w:r>
      <w:r w:rsidRPr="007F45A1">
        <w:rPr>
          <w:rFonts w:ascii="Times New Roman" w:hAnsi="Times New Roman"/>
          <w:i/>
          <w:sz w:val="21"/>
          <w:szCs w:val="21"/>
        </w:rPr>
        <w:t>The Tasks of Philosophy.</w:t>
      </w:r>
      <w:r w:rsidRPr="007F45A1">
        <w:rPr>
          <w:rFonts w:ascii="Times New Roman" w:hAnsi="Times New Roman"/>
          <w:sz w:val="21"/>
          <w:szCs w:val="21"/>
        </w:rPr>
        <w:t xml:space="preserve"> New York, NY: Cambridge University, 2006.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Magny, Claude-Edmonde. </w:t>
      </w:r>
      <w:r w:rsidRPr="007F45A1">
        <w:rPr>
          <w:rFonts w:ascii="Times New Roman" w:hAnsi="Times New Roman"/>
          <w:i/>
          <w:sz w:val="21"/>
          <w:szCs w:val="21"/>
        </w:rPr>
        <w:t>Les Sandales d’Empédocle</w:t>
      </w:r>
      <w:r w:rsidRPr="007F45A1">
        <w:rPr>
          <w:rFonts w:ascii="Times New Roman" w:hAnsi="Times New Roman"/>
          <w:sz w:val="21"/>
          <w:szCs w:val="21"/>
        </w:rPr>
        <w:t>. Neuchatel: Éditions de la Baconnière, 1945.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Russell, Paul. “Strawson’s Way of Naturalizing Responsibility.” </w:t>
      </w:r>
      <w:r w:rsidRPr="007F45A1">
        <w:rPr>
          <w:rFonts w:ascii="Times New Roman" w:hAnsi="Times New Roman"/>
          <w:i/>
          <w:sz w:val="21"/>
          <w:szCs w:val="21"/>
        </w:rPr>
        <w:t>Ethics</w:t>
      </w:r>
      <w:r w:rsidRPr="007F45A1">
        <w:rPr>
          <w:rFonts w:ascii="Times New Roman" w:hAnsi="Times New Roman"/>
          <w:sz w:val="21"/>
          <w:szCs w:val="21"/>
        </w:rPr>
        <w:t xml:space="preserve"> 102, 2: (1992) 287–302.</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Moore, G.E. “Proof of an External World.” In: </w:t>
      </w:r>
      <w:r w:rsidRPr="007F45A1">
        <w:rPr>
          <w:rFonts w:ascii="Times New Roman" w:hAnsi="Times New Roman"/>
          <w:i/>
          <w:sz w:val="21"/>
          <w:szCs w:val="21"/>
        </w:rPr>
        <w:t>Proceedings of the British Academy</w:t>
      </w:r>
      <w:r w:rsidRPr="007F45A1">
        <w:rPr>
          <w:rFonts w:ascii="Times New Roman" w:hAnsi="Times New Roman"/>
          <w:sz w:val="21"/>
          <w:szCs w:val="21"/>
        </w:rPr>
        <w:t xml:space="preserve"> 25: (1939), 273–300.</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Moritz Schlick. </w:t>
      </w:r>
      <w:r w:rsidRPr="007F45A1">
        <w:rPr>
          <w:rFonts w:ascii="Times New Roman" w:hAnsi="Times New Roman"/>
          <w:i/>
          <w:iCs/>
          <w:sz w:val="21"/>
          <w:szCs w:val="21"/>
        </w:rPr>
        <w:t xml:space="preserve">Problems of Ethics. </w:t>
      </w:r>
      <w:r w:rsidRPr="007F45A1">
        <w:rPr>
          <w:rFonts w:ascii="Times New Roman" w:hAnsi="Times New Roman"/>
          <w:sz w:val="21"/>
          <w:szCs w:val="21"/>
        </w:rPr>
        <w:t>New York, NY: Prentice-Hall, 1939.</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Early Years. </w:t>
      </w:r>
      <w:r w:rsidRPr="007F45A1">
        <w:rPr>
          <w:rFonts w:ascii="Times New Roman" w:hAnsi="Times New Roman"/>
          <w:sz w:val="21"/>
          <w:szCs w:val="21"/>
        </w:rPr>
        <w:t>Princeton, NJ: Princeton, 2016.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Decisive Years. </w:t>
      </w:r>
      <w:r w:rsidRPr="007F45A1">
        <w:rPr>
          <w:rFonts w:ascii="Times New Roman" w:hAnsi="Times New Roman"/>
          <w:sz w:val="21"/>
          <w:szCs w:val="21"/>
        </w:rPr>
        <w:t>Princeton, NJ: Princeton, 2013.</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Years of Insight. </w:t>
      </w:r>
      <w:r w:rsidRPr="007F45A1">
        <w:rPr>
          <w:rFonts w:ascii="Times New Roman" w:hAnsi="Times New Roman"/>
          <w:sz w:val="21"/>
          <w:szCs w:val="21"/>
        </w:rPr>
        <w:t xml:space="preserve">Princeton, NJ: Princeton, 2015.Strawson, P.F. </w:t>
      </w:r>
      <w:r w:rsidRPr="007F45A1">
        <w:rPr>
          <w:rFonts w:ascii="Times New Roman" w:hAnsi="Times New Roman"/>
          <w:i/>
          <w:sz w:val="21"/>
          <w:szCs w:val="21"/>
        </w:rPr>
        <w:t>Freedom and Resentment and Other Essays</w:t>
      </w:r>
      <w:r w:rsidRPr="007F45A1">
        <w:rPr>
          <w:rFonts w:ascii="Times New Roman" w:hAnsi="Times New Roman"/>
          <w:sz w:val="21"/>
          <w:szCs w:val="21"/>
        </w:rPr>
        <w:t>. London New York: Routledge, 2008.</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Väyrynen, Pekka. “Some Good and Bad News for Ethical Intuitionism.” In: </w:t>
      </w:r>
      <w:r w:rsidRPr="007F45A1">
        <w:rPr>
          <w:rFonts w:ascii="Times New Roman" w:hAnsi="Times New Roman"/>
          <w:i/>
          <w:sz w:val="21"/>
          <w:szCs w:val="21"/>
        </w:rPr>
        <w:t>The Philosophical Quarterly</w:t>
      </w:r>
      <w:r w:rsidRPr="007F45A1">
        <w:rPr>
          <w:rFonts w:ascii="Times New Roman" w:hAnsi="Times New Roman"/>
          <w:sz w:val="21"/>
          <w:szCs w:val="21"/>
        </w:rPr>
        <w:t>, 58 (232): (2008) 489</w:t>
      </w:r>
      <w:bookmarkStart w:id="4" w:name="_GoBack"/>
      <w:bookmarkEnd w:id="4"/>
      <w:r w:rsidRPr="007F45A1">
        <w:rPr>
          <w:rFonts w:ascii="Times New Roman" w:hAnsi="Times New Roman"/>
          <w:sz w:val="21"/>
          <w:szCs w:val="21"/>
        </w:rPr>
        <w:t>–511.</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Wilkins, John S., and Paul E. Griffiths. “Evolutionary Debunking Arguments in Three Domains.” In: </w:t>
      </w:r>
      <w:r w:rsidRPr="007F45A1">
        <w:rPr>
          <w:rFonts w:ascii="Times New Roman" w:hAnsi="Times New Roman"/>
          <w:i/>
          <w:sz w:val="21"/>
          <w:szCs w:val="21"/>
        </w:rPr>
        <w:t>A New Science of Religion</w:t>
      </w:r>
      <w:r w:rsidRPr="007F45A1">
        <w:rPr>
          <w:rFonts w:ascii="Times New Roman" w:hAnsi="Times New Roman"/>
          <w:sz w:val="21"/>
          <w:szCs w:val="21"/>
        </w:rPr>
        <w:t xml:space="preserve"> 23: (2012) 133–145.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Williams, Bernard. </w:t>
      </w:r>
      <w:r w:rsidRPr="007F45A1">
        <w:rPr>
          <w:rFonts w:ascii="Times New Roman" w:hAnsi="Times New Roman"/>
          <w:i/>
          <w:sz w:val="21"/>
          <w:szCs w:val="21"/>
        </w:rPr>
        <w:t>Truth and Truthfulness: An Essay in Genealogy</w:t>
      </w:r>
      <w:r w:rsidRPr="007F45A1">
        <w:rPr>
          <w:rFonts w:ascii="Times New Roman" w:hAnsi="Times New Roman"/>
          <w:sz w:val="21"/>
          <w:szCs w:val="21"/>
        </w:rPr>
        <w:t>. Ewing, NJ: Princeton University, 2004.</w:t>
      </w:r>
    </w:p>
    <w:p w:rsidR="00AB3F8C" w:rsidRPr="007F45A1" w:rsidRDefault="00AB3F8C" w:rsidP="00674715">
      <w:pPr>
        <w:pStyle w:val="MDPI64CoI"/>
        <w:spacing w:line="360" w:lineRule="auto"/>
        <w:rPr>
          <w:rFonts w:ascii="Times New Roman" w:hAnsi="Times New Roman"/>
          <w:sz w:val="21"/>
          <w:szCs w:val="21"/>
        </w:rPr>
      </w:pPr>
      <w:bookmarkStart w:id="5" w:name="biblio"/>
      <w:bookmarkEnd w:id="5"/>
      <w:r w:rsidRPr="007F45A1">
        <w:rPr>
          <w:rFonts w:ascii="Times New Roman" w:hAnsi="Times New Roman"/>
          <w:sz w:val="21"/>
          <w:szCs w:val="21"/>
        </w:rPr>
        <w:t xml:space="preserve">Williams, Bernard. </w:t>
      </w:r>
      <w:r w:rsidRPr="007F45A1">
        <w:rPr>
          <w:rFonts w:ascii="Times New Roman" w:hAnsi="Times New Roman"/>
          <w:i/>
          <w:sz w:val="21"/>
          <w:szCs w:val="21"/>
        </w:rPr>
        <w:t>Ethics and the Limits of Philosophy</w:t>
      </w:r>
      <w:r w:rsidRPr="007F45A1">
        <w:rPr>
          <w:rFonts w:ascii="Times New Roman" w:hAnsi="Times New Roman"/>
          <w:sz w:val="21"/>
          <w:szCs w:val="21"/>
        </w:rPr>
        <w:t>. Abingdon, GB: Routledge, 1985.</w:t>
      </w:r>
    </w:p>
    <w:p w:rsidR="00AB3F8C" w:rsidRPr="007F45A1" w:rsidRDefault="00AB3F8C" w:rsidP="00674715">
      <w:pPr>
        <w:spacing w:line="360" w:lineRule="auto"/>
        <w:rPr>
          <w:rFonts w:ascii="Times New Roman" w:eastAsia="Times New Roman" w:hAnsi="Times New Roman" w:cs="Times New Roman"/>
          <w:color w:val="000000"/>
          <w:lang w:eastAsia="de-DE" w:bidi="en-US"/>
        </w:rPr>
      </w:pPr>
      <w:r w:rsidRPr="007F45A1">
        <w:rPr>
          <w:rFonts w:ascii="Times New Roman" w:eastAsia="Times New Roman" w:hAnsi="Times New Roman" w:cs="Times New Roman"/>
          <w:color w:val="000000"/>
          <w:lang w:eastAsia="de-DE" w:bidi="en-US"/>
        </w:rPr>
        <w:t xml:space="preserve">Wilson, Edward O. </w:t>
      </w:r>
      <w:r w:rsidRPr="007F45A1">
        <w:rPr>
          <w:rFonts w:ascii="Times New Roman" w:eastAsia="Times New Roman" w:hAnsi="Times New Roman" w:cs="Times New Roman"/>
          <w:i/>
          <w:color w:val="000000"/>
          <w:lang w:eastAsia="de-DE" w:bidi="en-US"/>
        </w:rPr>
        <w:t>Sociobiology: The New Synthesis.</w:t>
      </w:r>
      <w:r w:rsidRPr="007F45A1">
        <w:rPr>
          <w:rFonts w:ascii="Times New Roman" w:eastAsia="Times New Roman" w:hAnsi="Times New Roman" w:cs="Times New Roman"/>
          <w:color w:val="000000"/>
          <w:lang w:eastAsia="de-DE" w:bidi="en-US"/>
        </w:rPr>
        <w:t xml:space="preserve"> Cambridge, MA: Belknap, 2000.</w:t>
      </w:r>
    </w:p>
    <w:p w:rsidR="00AB3F8C" w:rsidRPr="007F45A1" w:rsidRDefault="00AB3F8C" w:rsidP="00674715">
      <w:pPr>
        <w:spacing w:line="360" w:lineRule="auto"/>
        <w:rPr>
          <w:rFonts w:ascii="Times New Roman" w:hAnsi="Times New Roman" w:cs="Times New Roman"/>
        </w:rPr>
      </w:pPr>
    </w:p>
    <w:sectPr w:rsidR="00AB3F8C" w:rsidRPr="007F45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325" w:rsidRDefault="00B46325" w:rsidP="00AB3F8C">
      <w:pPr>
        <w:spacing w:after="0" w:line="240" w:lineRule="auto"/>
      </w:pPr>
      <w:r>
        <w:separator/>
      </w:r>
    </w:p>
  </w:endnote>
  <w:endnote w:type="continuationSeparator" w:id="0">
    <w:p w:rsidR="00B46325" w:rsidRDefault="00B46325" w:rsidP="00AB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635269"/>
      <w:docPartObj>
        <w:docPartGallery w:val="Page Numbers (Bottom of Page)"/>
        <w:docPartUnique/>
      </w:docPartObj>
    </w:sdtPr>
    <w:sdtEndPr>
      <w:rPr>
        <w:noProof/>
      </w:rPr>
    </w:sdtEndPr>
    <w:sdtContent>
      <w:p w:rsidR="00674715" w:rsidRDefault="00674715">
        <w:pPr>
          <w:pStyle w:val="Footer"/>
          <w:jc w:val="center"/>
        </w:pPr>
        <w:r>
          <w:fldChar w:fldCharType="begin"/>
        </w:r>
        <w:r>
          <w:instrText xml:space="preserve"> PAGE   \* MERGEFORMAT </w:instrText>
        </w:r>
        <w:r>
          <w:fldChar w:fldCharType="separate"/>
        </w:r>
        <w:r w:rsidR="007F45A1">
          <w:rPr>
            <w:noProof/>
          </w:rPr>
          <w:t>2</w:t>
        </w:r>
        <w:r>
          <w:rPr>
            <w:noProof/>
          </w:rPr>
          <w:fldChar w:fldCharType="end"/>
        </w:r>
      </w:p>
    </w:sdtContent>
  </w:sdt>
  <w:p w:rsidR="00674715" w:rsidRDefault="00674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325" w:rsidRDefault="00B46325" w:rsidP="00AB3F8C">
      <w:pPr>
        <w:spacing w:after="0" w:line="240" w:lineRule="auto"/>
      </w:pPr>
      <w:r>
        <w:separator/>
      </w:r>
    </w:p>
  </w:footnote>
  <w:footnote w:type="continuationSeparator" w:id="0">
    <w:p w:rsidR="00B46325" w:rsidRDefault="00B46325" w:rsidP="00AB3F8C">
      <w:pPr>
        <w:spacing w:after="0" w:line="240" w:lineRule="auto"/>
      </w:pPr>
      <w:r>
        <w:continuationSeparator/>
      </w:r>
    </w:p>
  </w:footnote>
  <w:footnote w:id="1">
    <w:p w:rsidR="005138B4" w:rsidRDefault="005138B4">
      <w:pPr>
        <w:pStyle w:val="FootnoteText"/>
      </w:pPr>
      <w:r>
        <w:rPr>
          <w:rStyle w:val="FootnoteReference"/>
        </w:rPr>
        <w:footnoteRef/>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r>
        <w:t xml:space="preserve"> </w:t>
      </w:r>
    </w:p>
  </w:footnote>
  <w:footnote w:id="2">
    <w:p w:rsidR="00B178F5" w:rsidRDefault="00B178F5">
      <w:pPr>
        <w:pStyle w:val="FootnoteText"/>
      </w:pPr>
      <w:r>
        <w:rPr>
          <w:rStyle w:val="FootnoteReference"/>
        </w:rPr>
        <w:footnoteRef/>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586B5211"/>
    <w:multiLevelType w:val="hybridMultilevel"/>
    <w:tmpl w:val="7A3824F2"/>
    <w:lvl w:ilvl="0" w:tplc="E0A6DEBC">
      <w:start w:val="7"/>
      <w:numFmt w:val="decimal"/>
      <w:lvlText w:val="%1."/>
      <w:lvlJc w:val="left"/>
      <w:pPr>
        <w:ind w:left="1145" w:hanging="360"/>
      </w:pPr>
      <w:rPr>
        <w:rFonts w:asciiTheme="majorHAnsi" w:hAnsiTheme="majorHAnsi" w:hint="default"/>
        <w:sz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8C"/>
    <w:rsid w:val="00206D11"/>
    <w:rsid w:val="003467EB"/>
    <w:rsid w:val="003647CE"/>
    <w:rsid w:val="005138B4"/>
    <w:rsid w:val="00674715"/>
    <w:rsid w:val="007F45A1"/>
    <w:rsid w:val="007F5F0A"/>
    <w:rsid w:val="00AB3F8C"/>
    <w:rsid w:val="00B178F5"/>
    <w:rsid w:val="00B3575F"/>
    <w:rsid w:val="00B46325"/>
    <w:rsid w:val="00C11D11"/>
    <w:rsid w:val="00EB0C9D"/>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A0C47-B1D2-4DCB-B9E5-9CA825D2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8C"/>
  </w:style>
  <w:style w:type="paragraph" w:styleId="Heading1">
    <w:name w:val="heading 1"/>
    <w:basedOn w:val="Normal"/>
    <w:next w:val="Normal"/>
    <w:link w:val="Heading1Char"/>
    <w:uiPriority w:val="9"/>
    <w:qFormat/>
    <w:rsid w:val="00AB3F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3F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B3F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3F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3F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3F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3F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3F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3F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3F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B3F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3F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3F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3F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3F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3F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3F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3F8C"/>
    <w:pPr>
      <w:spacing w:line="240" w:lineRule="auto"/>
    </w:pPr>
    <w:rPr>
      <w:b/>
      <w:bCs/>
      <w:smallCaps/>
      <w:color w:val="595959" w:themeColor="text1" w:themeTint="A6"/>
    </w:rPr>
  </w:style>
  <w:style w:type="paragraph" w:styleId="Title">
    <w:name w:val="Title"/>
    <w:basedOn w:val="Normal"/>
    <w:next w:val="Normal"/>
    <w:link w:val="TitleChar"/>
    <w:uiPriority w:val="10"/>
    <w:qFormat/>
    <w:rsid w:val="00AB3F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3F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3F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3F8C"/>
    <w:rPr>
      <w:rFonts w:asciiTheme="majorHAnsi" w:eastAsiaTheme="majorEastAsia" w:hAnsiTheme="majorHAnsi" w:cstheme="majorBidi"/>
      <w:sz w:val="30"/>
      <w:szCs w:val="30"/>
    </w:rPr>
  </w:style>
  <w:style w:type="character" w:styleId="Strong">
    <w:name w:val="Strong"/>
    <w:basedOn w:val="DefaultParagraphFont"/>
    <w:uiPriority w:val="22"/>
    <w:qFormat/>
    <w:rsid w:val="00AB3F8C"/>
    <w:rPr>
      <w:b/>
      <w:bCs/>
    </w:rPr>
  </w:style>
  <w:style w:type="character" w:styleId="Emphasis">
    <w:name w:val="Emphasis"/>
    <w:basedOn w:val="DefaultParagraphFont"/>
    <w:uiPriority w:val="20"/>
    <w:qFormat/>
    <w:rsid w:val="00AB3F8C"/>
    <w:rPr>
      <w:i/>
      <w:iCs/>
      <w:color w:val="70AD47" w:themeColor="accent6"/>
    </w:rPr>
  </w:style>
  <w:style w:type="paragraph" w:styleId="NoSpacing">
    <w:name w:val="No Spacing"/>
    <w:uiPriority w:val="1"/>
    <w:qFormat/>
    <w:rsid w:val="00AB3F8C"/>
    <w:pPr>
      <w:spacing w:after="0" w:line="240" w:lineRule="auto"/>
    </w:pPr>
  </w:style>
  <w:style w:type="paragraph" w:styleId="Quote">
    <w:name w:val="Quote"/>
    <w:basedOn w:val="Normal"/>
    <w:next w:val="Normal"/>
    <w:link w:val="QuoteChar"/>
    <w:uiPriority w:val="29"/>
    <w:qFormat/>
    <w:rsid w:val="00AB3F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3F8C"/>
    <w:rPr>
      <w:i/>
      <w:iCs/>
      <w:color w:val="262626" w:themeColor="text1" w:themeTint="D9"/>
    </w:rPr>
  </w:style>
  <w:style w:type="paragraph" w:styleId="IntenseQuote">
    <w:name w:val="Intense Quote"/>
    <w:basedOn w:val="Normal"/>
    <w:next w:val="Normal"/>
    <w:link w:val="IntenseQuoteChar"/>
    <w:uiPriority w:val="30"/>
    <w:qFormat/>
    <w:rsid w:val="00AB3F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3F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3F8C"/>
    <w:rPr>
      <w:i/>
      <w:iCs/>
    </w:rPr>
  </w:style>
  <w:style w:type="character" w:styleId="IntenseEmphasis">
    <w:name w:val="Intense Emphasis"/>
    <w:basedOn w:val="DefaultParagraphFont"/>
    <w:uiPriority w:val="21"/>
    <w:qFormat/>
    <w:rsid w:val="00AB3F8C"/>
    <w:rPr>
      <w:b/>
      <w:bCs/>
      <w:i/>
      <w:iCs/>
    </w:rPr>
  </w:style>
  <w:style w:type="character" w:styleId="SubtleReference">
    <w:name w:val="Subtle Reference"/>
    <w:basedOn w:val="DefaultParagraphFont"/>
    <w:uiPriority w:val="31"/>
    <w:qFormat/>
    <w:rsid w:val="00AB3F8C"/>
    <w:rPr>
      <w:smallCaps/>
      <w:color w:val="595959" w:themeColor="text1" w:themeTint="A6"/>
    </w:rPr>
  </w:style>
  <w:style w:type="character" w:styleId="IntenseReference">
    <w:name w:val="Intense Reference"/>
    <w:basedOn w:val="DefaultParagraphFont"/>
    <w:uiPriority w:val="32"/>
    <w:qFormat/>
    <w:rsid w:val="00AB3F8C"/>
    <w:rPr>
      <w:b/>
      <w:bCs/>
      <w:smallCaps/>
      <w:color w:val="70AD47" w:themeColor="accent6"/>
    </w:rPr>
  </w:style>
  <w:style w:type="character" w:styleId="BookTitle">
    <w:name w:val="Book Title"/>
    <w:basedOn w:val="DefaultParagraphFont"/>
    <w:uiPriority w:val="33"/>
    <w:qFormat/>
    <w:rsid w:val="00AB3F8C"/>
    <w:rPr>
      <w:b/>
      <w:bCs/>
      <w:caps w:val="0"/>
      <w:smallCaps/>
      <w:spacing w:val="7"/>
      <w:sz w:val="21"/>
      <w:szCs w:val="21"/>
    </w:rPr>
  </w:style>
  <w:style w:type="paragraph" w:styleId="TOCHeading">
    <w:name w:val="TOC Heading"/>
    <w:basedOn w:val="Heading1"/>
    <w:next w:val="Normal"/>
    <w:uiPriority w:val="39"/>
    <w:semiHidden/>
    <w:unhideWhenUsed/>
    <w:qFormat/>
    <w:rsid w:val="00AB3F8C"/>
    <w:pPr>
      <w:outlineLvl w:val="9"/>
    </w:pPr>
  </w:style>
  <w:style w:type="paragraph" w:customStyle="1" w:styleId="MDPI18keywords">
    <w:name w:val="MDPI_1.8_keywords"/>
    <w:basedOn w:val="Normal"/>
    <w:qFormat/>
    <w:rsid w:val="00AB3F8C"/>
    <w:pPr>
      <w:snapToGrid w:val="0"/>
      <w:spacing w:before="240" w:after="0" w:line="260" w:lineRule="atLeast"/>
      <w:ind w:left="113"/>
      <w:jc w:val="both"/>
    </w:pPr>
    <w:rPr>
      <w:rFonts w:ascii="Palatino Linotype" w:eastAsia="Times New Roman" w:hAnsi="Palatino Linotype" w:cs="Times New Roman"/>
      <w:color w:val="000000"/>
      <w:sz w:val="24"/>
      <w:szCs w:val="22"/>
      <w:lang w:eastAsia="de-DE" w:bidi="en-US"/>
    </w:rPr>
  </w:style>
  <w:style w:type="paragraph" w:customStyle="1" w:styleId="MDPI31text">
    <w:name w:val="MDPI_3.1_text"/>
    <w:qFormat/>
    <w:rsid w:val="00AB3F8C"/>
    <w:pPr>
      <w:snapToGrid w:val="0"/>
      <w:spacing w:after="0" w:line="260" w:lineRule="atLeast"/>
      <w:ind w:firstLine="425"/>
      <w:jc w:val="both"/>
    </w:pPr>
    <w:rPr>
      <w:rFonts w:ascii="Palatino Linotype" w:eastAsia="Times New Roman" w:hAnsi="Palatino Linotype" w:cs="Times New Roman"/>
      <w:color w:val="000000"/>
      <w:sz w:val="24"/>
      <w:szCs w:val="22"/>
      <w:lang w:eastAsia="de-DE" w:bidi="en-US"/>
    </w:rPr>
  </w:style>
  <w:style w:type="paragraph" w:styleId="ListParagraph">
    <w:name w:val="List Paragraph"/>
    <w:basedOn w:val="Normal"/>
    <w:uiPriority w:val="34"/>
    <w:qFormat/>
    <w:rsid w:val="00AB3F8C"/>
    <w:pPr>
      <w:ind w:left="720"/>
      <w:contextualSpacing/>
    </w:pPr>
  </w:style>
  <w:style w:type="character" w:customStyle="1" w:styleId="FootnoteTextChar">
    <w:name w:val="Footnote Text Char"/>
    <w:link w:val="FootnoteText"/>
    <w:qFormat/>
    <w:rsid w:val="00AB3F8C"/>
    <w:rPr>
      <w:rFonts w:eastAsia="Times New Roman" w:cs="Times New Roman"/>
      <w:color w:val="000000"/>
      <w:sz w:val="24"/>
      <w:lang w:eastAsia="de-DE"/>
    </w:rPr>
  </w:style>
  <w:style w:type="character" w:styleId="FootnoteReference">
    <w:name w:val="footnote reference"/>
    <w:basedOn w:val="DefaultParagraphFont"/>
    <w:uiPriority w:val="99"/>
    <w:semiHidden/>
    <w:unhideWhenUsed/>
    <w:qFormat/>
    <w:rsid w:val="00AB3F8C"/>
    <w:rPr>
      <w:vertAlign w:val="superscript"/>
    </w:rPr>
  </w:style>
  <w:style w:type="character" w:customStyle="1" w:styleId="FootnoteAnchor">
    <w:name w:val="Footnote Anchor"/>
    <w:rsid w:val="00AB3F8C"/>
    <w:rPr>
      <w:vertAlign w:val="superscript"/>
    </w:rPr>
  </w:style>
  <w:style w:type="paragraph" w:styleId="FootnoteText">
    <w:name w:val="footnote text"/>
    <w:basedOn w:val="Normal"/>
    <w:link w:val="FootnoteTextChar"/>
    <w:rsid w:val="00AB3F8C"/>
    <w:pPr>
      <w:spacing w:after="0" w:line="340" w:lineRule="atLeast"/>
      <w:jc w:val="both"/>
    </w:pPr>
    <w:rPr>
      <w:rFonts w:eastAsia="Times New Roman" w:cs="Times New Roman"/>
      <w:color w:val="000000"/>
      <w:sz w:val="24"/>
      <w:lang w:eastAsia="de-DE"/>
    </w:rPr>
  </w:style>
  <w:style w:type="character" w:customStyle="1" w:styleId="FootnoteTextChar1">
    <w:name w:val="Footnote Text Char1"/>
    <w:basedOn w:val="DefaultParagraphFont"/>
    <w:uiPriority w:val="99"/>
    <w:semiHidden/>
    <w:rsid w:val="00AB3F8C"/>
    <w:rPr>
      <w:sz w:val="20"/>
      <w:szCs w:val="20"/>
    </w:rPr>
  </w:style>
  <w:style w:type="paragraph" w:customStyle="1" w:styleId="MDPI62Acknowledgments">
    <w:name w:val="MDPI_6.2_Acknowledgments"/>
    <w:qFormat/>
    <w:rsid w:val="00AB3F8C"/>
    <w:pPr>
      <w:snapToGrid w:val="0"/>
      <w:spacing w:before="120" w:after="0" w:line="200" w:lineRule="atLeast"/>
      <w:jc w:val="both"/>
    </w:pPr>
    <w:rPr>
      <w:rFonts w:ascii="Palatino Linotype" w:eastAsia="Times New Roman" w:hAnsi="Palatino Linotype" w:cs="Times New Roman"/>
      <w:color w:val="000000"/>
      <w:sz w:val="18"/>
      <w:szCs w:val="20"/>
      <w:lang w:eastAsia="de-DE" w:bidi="en-US"/>
    </w:rPr>
  </w:style>
  <w:style w:type="paragraph" w:customStyle="1" w:styleId="MDPI64CoI">
    <w:name w:val="MDPI_6.4_CoI"/>
    <w:basedOn w:val="MDPI62Acknowledgments"/>
    <w:qFormat/>
    <w:rsid w:val="00AB3F8C"/>
  </w:style>
  <w:style w:type="paragraph" w:customStyle="1" w:styleId="MDPI21heading1">
    <w:name w:val="MDPI_2.1_heading1"/>
    <w:basedOn w:val="Normal"/>
    <w:qFormat/>
    <w:rsid w:val="00AB3F8C"/>
    <w:pPr>
      <w:snapToGrid w:val="0"/>
      <w:spacing w:before="240" w:after="120" w:line="260" w:lineRule="atLeast"/>
      <w:outlineLvl w:val="0"/>
    </w:pPr>
    <w:rPr>
      <w:rFonts w:ascii="Palatino Linotype" w:eastAsia="Times New Roman" w:hAnsi="Palatino Linotype" w:cs="Times New Roman"/>
      <w:b/>
      <w:color w:val="000000"/>
      <w:sz w:val="24"/>
      <w:szCs w:val="22"/>
      <w:lang w:eastAsia="de-DE" w:bidi="en-US"/>
    </w:rPr>
  </w:style>
  <w:style w:type="paragraph" w:styleId="BalloonText">
    <w:name w:val="Balloon Text"/>
    <w:basedOn w:val="Normal"/>
    <w:link w:val="BalloonTextChar"/>
    <w:uiPriority w:val="99"/>
    <w:semiHidden/>
    <w:unhideWhenUsed/>
    <w:rsid w:val="0067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15"/>
    <w:rPr>
      <w:rFonts w:ascii="Segoe UI" w:hAnsi="Segoe UI" w:cs="Segoe UI"/>
      <w:sz w:val="18"/>
      <w:szCs w:val="18"/>
    </w:rPr>
  </w:style>
  <w:style w:type="paragraph" w:styleId="Header">
    <w:name w:val="header"/>
    <w:basedOn w:val="Normal"/>
    <w:link w:val="HeaderChar"/>
    <w:uiPriority w:val="99"/>
    <w:unhideWhenUsed/>
    <w:rsid w:val="0067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15"/>
  </w:style>
  <w:style w:type="paragraph" w:styleId="Footer">
    <w:name w:val="footer"/>
    <w:basedOn w:val="Normal"/>
    <w:link w:val="FooterChar"/>
    <w:uiPriority w:val="99"/>
    <w:unhideWhenUsed/>
    <w:rsid w:val="0067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8F"/>
    <w:rsid w:val="00582A8F"/>
    <w:rsid w:val="00FF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0ED9EA26646E6A9E444740A67D5B1">
    <w:name w:val="F490ED9EA26646E6A9E444740A67D5B1"/>
    <w:rsid w:val="00582A8F"/>
  </w:style>
  <w:style w:type="paragraph" w:customStyle="1" w:styleId="AE8B3D2237734A9AAEB02D1CBDB376E8">
    <w:name w:val="AE8B3D2237734A9AAEB02D1CBDB376E8"/>
    <w:rsid w:val="00582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715D5-08BD-409C-8A45-8079D6B7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16</Pages>
  <Words>7320</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7</cp:revision>
  <cp:lastPrinted>2018-05-30T23:22:00Z</cp:lastPrinted>
  <dcterms:created xsi:type="dcterms:W3CDTF">2018-05-30T21:35:00Z</dcterms:created>
  <dcterms:modified xsi:type="dcterms:W3CDTF">2018-05-31T00:35:00Z</dcterms:modified>
</cp:coreProperties>
</file>