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27.png" ContentType="image/png"/>
  <Override PartName="/word/media/rId95.png" ContentType="image/png"/>
  <Override PartName="/word/media/rId100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Шихалиева</w:t>
      </w:r>
      <w:r>
        <w:t xml:space="preserve"> </w:t>
      </w:r>
      <w:r>
        <w:t xml:space="preserve">З.Р.</w:t>
      </w:r>
    </w:p>
    <w:p>
      <w:pPr>
        <w:pStyle w:val="Date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цель-работы"/>
    <w:p>
      <w:pPr>
        <w:pStyle w:val="Heading1"/>
      </w:pPr>
      <w:r>
        <w:t xml:space="preserve">Цель работы</w:t>
      </w:r>
    </w:p>
    <w:bookmarkStart w:id="20" w:name="основная-цель"/>
    <w:p>
      <w:pPr>
        <w:pStyle w:val="Heading2"/>
      </w:pPr>
      <w:r>
        <w:t xml:space="preserve">Основная цель</w:t>
      </w:r>
    </w:p>
    <w:p>
      <w:pPr>
        <w:pStyle w:val="FirstParagraph"/>
      </w:pPr>
      <w:r>
        <w:t xml:space="preserve">Изучить принципы адресации и маршрутизации в сетях IPv4 и IPv6, а также механизм организации туннеля IPv6 поверх IPv4 с использованием маршрутизаторов VyOS и среды моделирования GNS3.</w:t>
      </w:r>
    </w:p>
    <w:bookmarkEnd w:id="20"/>
    <w:bookmarkEnd w:id="21"/>
    <w:bookmarkStart w:id="26" w:name="исходная-топология"/>
    <w:p>
      <w:pPr>
        <w:pStyle w:val="Heading1"/>
      </w:pPr>
      <w:r>
        <w:t xml:space="preserve">Исходная топология</w:t>
      </w:r>
    </w:p>
    <w:bookmarkStart w:id="25" w:name="общая-схема-сети"/>
    <w:p>
      <w:pPr>
        <w:pStyle w:val="Heading2"/>
      </w:pPr>
      <w:r>
        <w:t xml:space="preserve">Общая схема сети</w:t>
      </w:r>
    </w:p>
    <w:p>
      <w:pPr>
        <w:numPr>
          <w:ilvl w:val="0"/>
          <w:numId w:val="1001"/>
        </w:numPr>
        <w:pStyle w:val="Compact"/>
      </w:pPr>
      <w:r>
        <w:t xml:space="preserve">Две изолированные IPv6-сети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Транзитная IPv4-сеть между ними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Три маршрутизатора VyOS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Два оконечных узла VPCS</w:t>
      </w:r>
    </w:p>
    <w:p>
      <w:pPr>
        <w:pStyle w:val="CaptionedFigure"/>
      </w:pPr>
      <w:r>
        <w:drawing>
          <wp:inline>
            <wp:extent cx="4267200" cy="2618335"/>
            <wp:effectExtent b="0" l="0" r="0" t="0"/>
            <wp:docPr descr="Топология се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8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25"/>
    <w:bookmarkEnd w:id="26"/>
    <w:bookmarkStart w:id="35" w:name="адресация-ipv6-на-оконечных-узлах"/>
    <w:p>
      <w:pPr>
        <w:pStyle w:val="Heading1"/>
      </w:pPr>
      <w:r>
        <w:t xml:space="preserve">Адресация IPv6 на оконечных узлах</w:t>
      </w:r>
    </w:p>
    <w:bookmarkStart w:id="30" w:name="настройка-pc1"/>
    <w:p>
      <w:pPr>
        <w:pStyle w:val="Heading2"/>
      </w:pPr>
      <w:r>
        <w:t xml:space="preserve">Настройка PC1</w:t>
      </w:r>
    </w:p>
    <w:p>
      <w:pPr>
        <w:numPr>
          <w:ilvl w:val="0"/>
          <w:numId w:val="1002"/>
        </w:numPr>
        <w:pStyle w:val="Compact"/>
      </w:pPr>
      <w:r>
        <w:t xml:space="preserve">IPv6-адрес:</w:t>
      </w:r>
      <w:r>
        <w:t xml:space="preserve"> </w:t>
      </w:r>
      <w:r>
        <w:rPr>
          <w:bCs/>
          <w:b/>
        </w:rPr>
        <w:t xml:space="preserve">1000::a/64</w:t>
      </w:r>
    </w:p>
    <w:p>
      <w:pPr>
        <w:numPr>
          <w:ilvl w:val="0"/>
          <w:numId w:val="1002"/>
        </w:numPr>
        <w:pStyle w:val="Compact"/>
      </w:pPr>
      <w:r>
        <w:t xml:space="preserve">Автоматическое получение шлюза через Router Advertisement</w:t>
      </w:r>
    </w:p>
    <w:p>
      <w:pPr>
        <w:numPr>
          <w:ilvl w:val="0"/>
          <w:numId w:val="1002"/>
        </w:numPr>
        <w:pStyle w:val="Compact"/>
      </w:pPr>
      <w:r>
        <w:t xml:space="preserve">Проверка параметров IPv6</w:t>
      </w:r>
    </w:p>
    <w:p>
      <w:pPr>
        <w:pStyle w:val="CaptionedFigure"/>
      </w:pPr>
      <w:r>
        <w:drawing>
          <wp:inline>
            <wp:extent cx="3733800" cy="2114257"/>
            <wp:effectExtent b="0" l="0" r="0" t="0"/>
            <wp:docPr descr="PC1 IPv6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PC1 IPv6</w:t>
      </w:r>
    </w:p>
    <w:bookmarkEnd w:id="30"/>
    <w:bookmarkStart w:id="34" w:name="настройка-pc2"/>
    <w:p>
      <w:pPr>
        <w:pStyle w:val="Heading2"/>
      </w:pPr>
      <w:r>
        <w:t xml:space="preserve">Настройка PC2</w:t>
      </w:r>
    </w:p>
    <w:p>
      <w:pPr>
        <w:numPr>
          <w:ilvl w:val="0"/>
          <w:numId w:val="1003"/>
        </w:numPr>
        <w:pStyle w:val="Compact"/>
      </w:pPr>
      <w:r>
        <w:t xml:space="preserve">IPv6-адрес:</w:t>
      </w:r>
      <w:r>
        <w:t xml:space="preserve"> </w:t>
      </w:r>
      <w:r>
        <w:rPr>
          <w:bCs/>
          <w:b/>
        </w:rPr>
        <w:t xml:space="preserve">1002::a/64</w:t>
      </w:r>
    </w:p>
    <w:p>
      <w:pPr>
        <w:numPr>
          <w:ilvl w:val="0"/>
          <w:numId w:val="1003"/>
        </w:numPr>
        <w:pStyle w:val="Compact"/>
      </w:pPr>
      <w:r>
        <w:t xml:space="preserve">Получение link-local и глобального адресов</w:t>
      </w:r>
    </w:p>
    <w:p>
      <w:pPr>
        <w:numPr>
          <w:ilvl w:val="0"/>
          <w:numId w:val="1003"/>
        </w:numPr>
        <w:pStyle w:val="Compact"/>
      </w:pPr>
      <w:r>
        <w:t xml:space="preserve">Проверка конфигурации</w:t>
      </w:r>
    </w:p>
    <w:p>
      <w:pPr>
        <w:pStyle w:val="CaptionedFigure"/>
      </w:pPr>
      <w:r>
        <w:drawing>
          <wp:inline>
            <wp:extent cx="3733800" cy="2226815"/>
            <wp:effectExtent b="0" l="0" r="0" t="0"/>
            <wp:docPr descr="PC2 IPv6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PC2 IPv6</w:t>
      </w:r>
    </w:p>
    <w:bookmarkEnd w:id="34"/>
    <w:bookmarkEnd w:id="35"/>
    <w:bookmarkStart w:id="48" w:name="настройка-граничных-маршрутизаторов"/>
    <w:p>
      <w:pPr>
        <w:pStyle w:val="Heading1"/>
      </w:pPr>
      <w:r>
        <w:t xml:space="preserve">Настройка граничных маршрутизаторов</w:t>
      </w:r>
    </w:p>
    <w:bookmarkStart w:id="39" w:name="маршрутизатор-msk-zashikhalieva-gw-01"/>
    <w:p>
      <w:pPr>
        <w:pStyle w:val="Heading2"/>
      </w:pPr>
      <w:r>
        <w:t xml:space="preserve">Маршрутизатор msk-zashikhalieva-gw-01</w:t>
      </w:r>
    </w:p>
    <w:p>
      <w:pPr>
        <w:numPr>
          <w:ilvl w:val="0"/>
          <w:numId w:val="1004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1000::1/64</w:t>
      </w:r>
      <w:r>
        <w:t xml:space="preserve"> </w:t>
      </w:r>
      <w:r>
        <w:t xml:space="preserve">(локальная сеть PC1)</w:t>
      </w:r>
    </w:p>
    <w:p>
      <w:pPr>
        <w:numPr>
          <w:ilvl w:val="0"/>
          <w:numId w:val="1004"/>
        </w:numPr>
        <w:pStyle w:val="Compact"/>
      </w:pPr>
      <w:r>
        <w:t xml:space="preserve">IPv4:</w:t>
      </w:r>
      <w:r>
        <w:t xml:space="preserve"> </w:t>
      </w:r>
      <w:r>
        <w:rPr>
          <w:bCs/>
          <w:b/>
        </w:rPr>
        <w:t xml:space="preserve">10.0.0.1/8</w:t>
      </w:r>
    </w:p>
    <w:p>
      <w:pPr>
        <w:numPr>
          <w:ilvl w:val="0"/>
          <w:numId w:val="1004"/>
        </w:numPr>
        <w:pStyle w:val="Compact"/>
      </w:pPr>
      <w:r>
        <w:t xml:space="preserve">Включение Router Advertisement</w:t>
      </w:r>
    </w:p>
    <w:p>
      <w:pPr>
        <w:pStyle w:val="CaptionedFigure"/>
      </w:pPr>
      <w:r>
        <w:drawing>
          <wp:inline>
            <wp:extent cx="4000500" cy="2455862"/>
            <wp:effectExtent b="0" l="0" r="0" t="0"/>
            <wp:docPr descr="gw-01 config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gw-01 config</w:t>
      </w:r>
    </w:p>
    <w:bookmarkEnd w:id="39"/>
    <w:bookmarkStart w:id="43" w:name="маршрутизатор-msk-zashikhalieva-gw-02"/>
    <w:p>
      <w:pPr>
        <w:pStyle w:val="Heading2"/>
      </w:pPr>
      <w:r>
        <w:t xml:space="preserve">Маршрутизатор msk-zashikhalieva-gw-02</w:t>
      </w:r>
    </w:p>
    <w:p>
      <w:pPr>
        <w:numPr>
          <w:ilvl w:val="0"/>
          <w:numId w:val="1005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1002::1/64</w:t>
      </w:r>
      <w:r>
        <w:t xml:space="preserve"> </w:t>
      </w:r>
      <w:r>
        <w:t xml:space="preserve">(локальная сеть PC2)</w:t>
      </w:r>
    </w:p>
    <w:p>
      <w:pPr>
        <w:numPr>
          <w:ilvl w:val="0"/>
          <w:numId w:val="1005"/>
        </w:numPr>
        <w:pStyle w:val="Compact"/>
      </w:pPr>
      <w:r>
        <w:t xml:space="preserve">IPv4:</w:t>
      </w:r>
      <w:r>
        <w:t xml:space="preserve"> </w:t>
      </w:r>
      <w:r>
        <w:rPr>
          <w:bCs/>
          <w:b/>
        </w:rPr>
        <w:t xml:space="preserve">20.0.0.2/8</w:t>
      </w:r>
    </w:p>
    <w:p>
      <w:pPr>
        <w:numPr>
          <w:ilvl w:val="0"/>
          <w:numId w:val="1005"/>
        </w:numPr>
        <w:pStyle w:val="Compact"/>
      </w:pPr>
      <w:r>
        <w:t xml:space="preserve">Включение Router Advertisement</w:t>
      </w:r>
    </w:p>
    <w:p>
      <w:pPr>
        <w:pStyle w:val="CaptionedFigure"/>
      </w:pPr>
      <w:r>
        <w:drawing>
          <wp:inline>
            <wp:extent cx="4000500" cy="2248318"/>
            <wp:effectExtent b="0" l="0" r="0" t="0"/>
            <wp:docPr descr="gw-02 config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gw-02 config</w:t>
      </w:r>
    </w:p>
    <w:bookmarkEnd w:id="43"/>
    <w:bookmarkStart w:id="47" w:name="Xd66df707bfc593f5d65d4912d756f72c2619bd2"/>
    <w:p>
      <w:pPr>
        <w:pStyle w:val="Heading2"/>
      </w:pPr>
      <w:r>
        <w:t xml:space="preserve">Транзитный маршрутизатор msk-zashikhalieva-gw-03</w:t>
      </w:r>
    </w:p>
    <w:p>
      <w:pPr>
        <w:numPr>
          <w:ilvl w:val="0"/>
          <w:numId w:val="1006"/>
        </w:numPr>
        <w:pStyle w:val="Compact"/>
      </w:pPr>
      <w:r>
        <w:t xml:space="preserve">IPv4:</w:t>
      </w:r>
      <w:r>
        <w:t xml:space="preserve"> </w:t>
      </w:r>
      <w:r>
        <w:rPr>
          <w:bCs/>
          <w:b/>
        </w:rPr>
        <w:t xml:space="preserve">10.0.0.2/8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20.0.0.1/8</w:t>
      </w:r>
    </w:p>
    <w:p>
      <w:pPr>
        <w:numPr>
          <w:ilvl w:val="0"/>
          <w:numId w:val="1006"/>
        </w:numPr>
        <w:pStyle w:val="Compact"/>
      </w:pPr>
      <w:r>
        <w:t xml:space="preserve">Обеспечение связи между IPv4-сетями</w:t>
      </w:r>
    </w:p>
    <w:p>
      <w:pPr>
        <w:pStyle w:val="CaptionedFigure"/>
      </w:pPr>
      <w:r>
        <w:drawing>
          <wp:inline>
            <wp:extent cx="4000500" cy="1665444"/>
            <wp:effectExtent b="0" l="0" r="0" t="0"/>
            <wp:docPr descr="gw-03 config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6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gw-03 config</w:t>
      </w:r>
    </w:p>
    <w:bookmarkEnd w:id="47"/>
    <w:bookmarkEnd w:id="48"/>
    <w:bookmarkStart w:id="53" w:name="проверка-ipv4-связности-до-маршрутизации"/>
    <w:p>
      <w:pPr>
        <w:pStyle w:val="Heading1"/>
      </w:pPr>
      <w:r>
        <w:t xml:space="preserve">Проверка IPv4-связности (до маршрутизации)</w:t>
      </w:r>
    </w:p>
    <w:bookmarkStart w:id="52" w:name="результаты-проверки"/>
    <w:p>
      <w:pPr>
        <w:pStyle w:val="Heading2"/>
      </w:pPr>
      <w:r>
        <w:t xml:space="preserve">Результаты проверки</w:t>
      </w:r>
    </w:p>
    <w:p>
      <w:pPr>
        <w:numPr>
          <w:ilvl w:val="0"/>
          <w:numId w:val="1007"/>
        </w:numPr>
        <w:pStyle w:val="Compact"/>
      </w:pPr>
      <w:r>
        <w:t xml:space="preserve">Доступна сеть</w:t>
      </w:r>
      <w:r>
        <w:t xml:space="preserve"> </w:t>
      </w:r>
      <w:r>
        <w:rPr>
          <w:bCs/>
          <w:b/>
        </w:rPr>
        <w:t xml:space="preserve">10.0.0.0/8</w:t>
      </w:r>
    </w:p>
    <w:p>
      <w:pPr>
        <w:numPr>
          <w:ilvl w:val="0"/>
          <w:numId w:val="1007"/>
        </w:numPr>
        <w:pStyle w:val="Compact"/>
      </w:pPr>
      <w:r>
        <w:t xml:space="preserve">Сеть</w:t>
      </w:r>
      <w:r>
        <w:t xml:space="preserve"> </w:t>
      </w:r>
      <w:r>
        <w:rPr>
          <w:bCs/>
          <w:b/>
        </w:rPr>
        <w:t xml:space="preserve">20.0.0.0/8</w:t>
      </w:r>
      <w:r>
        <w:t xml:space="preserve"> </w:t>
      </w:r>
      <w:r>
        <w:t xml:space="preserve">недостижима</w:t>
      </w:r>
    </w:p>
    <w:p>
      <w:pPr>
        <w:numPr>
          <w:ilvl w:val="0"/>
          <w:numId w:val="1007"/>
        </w:numPr>
        <w:pStyle w:val="Compact"/>
      </w:pPr>
      <w:r>
        <w:t xml:space="preserve">Причина — отсутствие маршрутов</w:t>
      </w:r>
    </w:p>
    <w:p>
      <w:pPr>
        <w:pStyle w:val="CaptionedFigure"/>
      </w:pPr>
      <w:r>
        <w:drawing>
          <wp:inline>
            <wp:extent cx="4267200" cy="4230350"/>
            <wp:effectExtent b="0" l="0" r="0" t="0"/>
            <wp:docPr descr="IPv4 ping fail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IPv4 ping fail</w:t>
      </w:r>
    </w:p>
    <w:bookmarkEnd w:id="52"/>
    <w:bookmarkEnd w:id="53"/>
    <w:bookmarkStart w:id="70" w:name="динамическая-маршрутизация-ipv4-rip"/>
    <w:p>
      <w:pPr>
        <w:pStyle w:val="Heading1"/>
      </w:pPr>
      <w:r>
        <w:t xml:space="preserve">Динамическая маршрутизация IPv4 (RIP)</w:t>
      </w:r>
    </w:p>
    <w:bookmarkStart w:id="57" w:name="настройка-rip"/>
    <w:p>
      <w:pPr>
        <w:pStyle w:val="Heading2"/>
      </w:pPr>
      <w:r>
        <w:t xml:space="preserve">Настройка RIP</w:t>
      </w:r>
    </w:p>
    <w:p>
      <w:pPr>
        <w:numPr>
          <w:ilvl w:val="0"/>
          <w:numId w:val="1008"/>
        </w:numPr>
        <w:pStyle w:val="Compact"/>
      </w:pPr>
      <w:r>
        <w:t xml:space="preserve">gw-01: сеть</w:t>
      </w:r>
      <w:r>
        <w:t xml:space="preserve"> </w:t>
      </w:r>
      <w:r>
        <w:rPr>
          <w:bCs/>
          <w:b/>
        </w:rPr>
        <w:t xml:space="preserve">10.0.0.0/8</w:t>
      </w:r>
    </w:p>
    <w:p>
      <w:pPr>
        <w:pStyle w:val="CaptionedFigure"/>
      </w:pPr>
      <w:r>
        <w:drawing>
          <wp:inline>
            <wp:extent cx="3733800" cy="2121713"/>
            <wp:effectExtent b="0" l="0" r="0" t="0"/>
            <wp:docPr descr="RIP gw-01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gw-01</w:t>
      </w:r>
    </w:p>
    <w:bookmarkEnd w:id="57"/>
    <w:bookmarkStart w:id="61" w:name="настройка-rip-1"/>
    <w:p>
      <w:pPr>
        <w:pStyle w:val="Heading2"/>
      </w:pPr>
      <w:r>
        <w:t xml:space="preserve">Настройка RIP</w:t>
      </w:r>
    </w:p>
    <w:p>
      <w:pPr>
        <w:numPr>
          <w:ilvl w:val="0"/>
          <w:numId w:val="1009"/>
        </w:numPr>
        <w:pStyle w:val="Compact"/>
      </w:pPr>
      <w:r>
        <w:t xml:space="preserve">gw-02: сеть</w:t>
      </w:r>
      <w:r>
        <w:t xml:space="preserve"> </w:t>
      </w:r>
      <w:r>
        <w:rPr>
          <w:bCs/>
          <w:b/>
        </w:rPr>
        <w:t xml:space="preserve">20.0.0.0/8</w:t>
      </w:r>
    </w:p>
    <w:p>
      <w:pPr>
        <w:pStyle w:val="CaptionedFigure"/>
      </w:pPr>
      <w:r>
        <w:drawing>
          <wp:inline>
            <wp:extent cx="3733800" cy="2325339"/>
            <wp:effectExtent b="0" l="0" r="0" t="0"/>
            <wp:docPr descr="RIP gw-03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gw-03</w:t>
      </w:r>
    </w:p>
    <w:bookmarkEnd w:id="61"/>
    <w:bookmarkStart w:id="65" w:name="настройка-rip-2"/>
    <w:p>
      <w:pPr>
        <w:pStyle w:val="Heading2"/>
      </w:pPr>
      <w:r>
        <w:t xml:space="preserve">Настройка RIP</w:t>
      </w:r>
    </w:p>
    <w:p>
      <w:pPr>
        <w:numPr>
          <w:ilvl w:val="0"/>
          <w:numId w:val="1010"/>
        </w:numPr>
        <w:pStyle w:val="Compact"/>
      </w:pPr>
      <w:r>
        <w:t xml:space="preserve">gw-03: обе сети</w:t>
      </w:r>
    </w:p>
    <w:p>
      <w:pPr>
        <w:pStyle w:val="CaptionedFigure"/>
      </w:pPr>
      <w:r>
        <w:drawing>
          <wp:inline>
            <wp:extent cx="3733800" cy="1253528"/>
            <wp:effectExtent b="0" l="0" r="0" t="0"/>
            <wp:docPr descr="RIP gw-02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gw-02</w:t>
      </w:r>
    </w:p>
    <w:bookmarkEnd w:id="65"/>
    <w:bookmarkStart w:id="69" w:name="проверка-связности-после-rip"/>
    <w:p>
      <w:pPr>
        <w:pStyle w:val="Heading2"/>
      </w:pPr>
      <w:r>
        <w:t xml:space="preserve">Проверка связности после RIP</w:t>
      </w:r>
    </w:p>
    <w:p>
      <w:pPr>
        <w:numPr>
          <w:ilvl w:val="0"/>
          <w:numId w:val="1011"/>
        </w:numPr>
        <w:pStyle w:val="Compact"/>
      </w:pPr>
      <w:r>
        <w:t xml:space="preserve">Все IPv4-узлы доступны</w:t>
      </w:r>
    </w:p>
    <w:p>
      <w:pPr>
        <w:numPr>
          <w:ilvl w:val="0"/>
          <w:numId w:val="1011"/>
        </w:numPr>
        <w:pStyle w:val="Compact"/>
      </w:pPr>
      <w:r>
        <w:t xml:space="preserve">Маршруты распространяются автоматически</w:t>
      </w:r>
    </w:p>
    <w:p>
      <w:pPr>
        <w:pStyle w:val="CaptionedFigure"/>
      </w:pPr>
      <w:r>
        <w:drawing>
          <wp:inline>
            <wp:extent cx="4267200" cy="1432603"/>
            <wp:effectExtent b="0" l="0" r="0" t="0"/>
            <wp:docPr descr="IPv4 ping success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3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IPv4 ping success</w:t>
      </w:r>
    </w:p>
    <w:bookmarkEnd w:id="69"/>
    <w:bookmarkEnd w:id="70"/>
    <w:bookmarkStart w:id="75" w:name="анализ-ipv4-трафика"/>
    <w:p>
      <w:pPr>
        <w:pStyle w:val="Heading1"/>
      </w:pPr>
      <w:r>
        <w:t xml:space="preserve">Анализ IPv4-трафика</w:t>
      </w:r>
    </w:p>
    <w:bookmarkStart w:id="74" w:name="rip-и-icmp"/>
    <w:p>
      <w:pPr>
        <w:pStyle w:val="Heading2"/>
      </w:pPr>
      <w:r>
        <w:t xml:space="preserve">RIP и ICMP</w:t>
      </w:r>
    </w:p>
    <w:p>
      <w:pPr>
        <w:numPr>
          <w:ilvl w:val="0"/>
          <w:numId w:val="1012"/>
        </w:numPr>
        <w:pStyle w:val="Compact"/>
      </w:pPr>
      <w:r>
        <w:t xml:space="preserve">RIP-пакеты на</w:t>
      </w:r>
      <w:r>
        <w:t xml:space="preserve"> </w:t>
      </w:r>
      <w:r>
        <w:rPr>
          <w:bCs/>
          <w:b/>
        </w:rPr>
        <w:t xml:space="preserve">224.0.0.9</w:t>
      </w:r>
    </w:p>
    <w:p>
      <w:pPr>
        <w:numPr>
          <w:ilvl w:val="0"/>
          <w:numId w:val="1012"/>
        </w:numPr>
        <w:pStyle w:val="Compact"/>
      </w:pPr>
      <w:r>
        <w:t xml:space="preserve">ICMP Echo Request / Reply между сетями</w:t>
      </w:r>
    </w:p>
    <w:p>
      <w:pPr>
        <w:pStyle w:val="CaptionedFigure"/>
      </w:pPr>
      <w:r>
        <w:drawing>
          <wp:inline>
            <wp:extent cx="4800600" cy="1513882"/>
            <wp:effectExtent b="0" l="0" r="0" t="0"/>
            <wp:docPr descr="RIP + ICMP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1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+ ICMP</w:t>
      </w:r>
    </w:p>
    <w:bookmarkEnd w:id="74"/>
    <w:bookmarkEnd w:id="75"/>
    <w:bookmarkStart w:id="84" w:name="туннелирование-ipv6-поверх-ipv4"/>
    <w:p>
      <w:pPr>
        <w:pStyle w:val="Heading1"/>
      </w:pPr>
      <w:r>
        <w:t xml:space="preserve">Туннелирование IPv6 поверх IPv4</w:t>
      </w:r>
    </w:p>
    <w:bookmarkStart w:id="79" w:name="создание-туннеля-6in4"/>
    <w:p>
      <w:pPr>
        <w:pStyle w:val="Heading2"/>
      </w:pPr>
      <w:r>
        <w:t xml:space="preserve">Создание туннеля 6in4</w:t>
      </w:r>
    </w:p>
    <w:p>
      <w:pPr>
        <w:numPr>
          <w:ilvl w:val="0"/>
          <w:numId w:val="1013"/>
        </w:numPr>
        <w:pStyle w:val="Compact"/>
      </w:pPr>
      <w:r>
        <w:t xml:space="preserve">Тип туннеля:</w:t>
      </w:r>
      <w:r>
        <w:t xml:space="preserve"> </w:t>
      </w:r>
      <w:r>
        <w:rPr>
          <w:bCs/>
          <w:b/>
        </w:rPr>
        <w:t xml:space="preserve">SIT</w:t>
      </w:r>
    </w:p>
    <w:p>
      <w:pPr>
        <w:numPr>
          <w:ilvl w:val="0"/>
          <w:numId w:val="1013"/>
        </w:numPr>
        <w:pStyle w:val="Compact"/>
      </w:pPr>
      <w:r>
        <w:t xml:space="preserve">gw-01 ↔ gw-02</w:t>
      </w:r>
    </w:p>
    <w:p>
      <w:pPr>
        <w:pStyle w:val="CaptionedFigure"/>
      </w:pPr>
      <w:r>
        <w:drawing>
          <wp:inline>
            <wp:extent cx="4267200" cy="2595943"/>
            <wp:effectExtent b="0" l="0" r="0" t="0"/>
            <wp:docPr descr="Tunnel gw-01" title="" id="77" name="Picture"/>
            <a:graphic>
              <a:graphicData uri="http://schemas.openxmlformats.org/drawingml/2006/picture">
                <pic:pic>
                  <pic:nvPicPr>
                    <pic:cNvPr descr="image/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Tunnel gw-01</w:t>
      </w:r>
    </w:p>
    <w:bookmarkEnd w:id="79"/>
    <w:bookmarkStart w:id="83" w:name="создание-туннеля-6in4-1"/>
    <w:p>
      <w:pPr>
        <w:pStyle w:val="Heading2"/>
      </w:pPr>
      <w:r>
        <w:t xml:space="preserve">Создание туннеля 6in4</w:t>
      </w:r>
    </w:p>
    <w:p>
      <w:pPr>
        <w:numPr>
          <w:ilvl w:val="0"/>
          <w:numId w:val="1014"/>
        </w:numPr>
        <w:pStyle w:val="Compact"/>
      </w:pPr>
      <w:r>
        <w:t xml:space="preserve">IPv6-сеть туннеля:</w:t>
      </w:r>
      <w:r>
        <w:t xml:space="preserve"> </w:t>
      </w:r>
      <w:r>
        <w:rPr>
          <w:bCs/>
          <w:b/>
        </w:rPr>
        <w:t xml:space="preserve">1001::/64</w:t>
      </w:r>
    </w:p>
    <w:p>
      <w:pPr>
        <w:pStyle w:val="CaptionedFigure"/>
      </w:pPr>
      <w:r>
        <w:drawing>
          <wp:inline>
            <wp:extent cx="4267200" cy="1903827"/>
            <wp:effectExtent b="0" l="0" r="0" t="0"/>
            <wp:docPr descr="Tunnel gw-02" title="" id="81" name="Picture"/>
            <a:graphic>
              <a:graphicData uri="http://schemas.openxmlformats.org/drawingml/2006/picture">
                <pic:pic>
                  <pic:nvPicPr>
                    <pic:cNvPr descr="image/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3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Tunnel gw-02</w:t>
      </w:r>
    </w:p>
    <w:bookmarkEnd w:id="83"/>
    <w:bookmarkEnd w:id="84"/>
    <w:bookmarkStart w:id="93" w:name="статическая-маршрутизация-ipv6"/>
    <w:p>
      <w:pPr>
        <w:pStyle w:val="Heading1"/>
      </w:pPr>
      <w:r>
        <w:t xml:space="preserve">Статическая маршрутизация IPv6</w:t>
      </w:r>
    </w:p>
    <w:bookmarkStart w:id="88" w:name="настройка-маршрутов"/>
    <w:p>
      <w:pPr>
        <w:pStyle w:val="Heading2"/>
      </w:pPr>
      <w:r>
        <w:t xml:space="preserve">Настройка маршрутов</w:t>
      </w:r>
    </w:p>
    <w:p>
      <w:pPr>
        <w:numPr>
          <w:ilvl w:val="0"/>
          <w:numId w:val="1015"/>
        </w:numPr>
        <w:pStyle w:val="Compact"/>
      </w:pPr>
      <w:r>
        <w:t xml:space="preserve">gw-01 →</w:t>
      </w:r>
      <w:r>
        <w:t xml:space="preserve"> </w:t>
      </w:r>
      <w:r>
        <w:rPr>
          <w:bCs/>
          <w:b/>
        </w:rPr>
        <w:t xml:space="preserve">1002::/64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1001::2</w:t>
      </w:r>
    </w:p>
    <w:p>
      <w:pPr>
        <w:pStyle w:val="CaptionedFigure"/>
      </w:pPr>
      <w:r>
        <w:drawing>
          <wp:inline>
            <wp:extent cx="4000500" cy="2171988"/>
            <wp:effectExtent b="0" l="0" r="0" t="0"/>
            <wp:docPr descr="IPv6 route gw-01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7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 route gw-01</w:t>
      </w:r>
    </w:p>
    <w:bookmarkEnd w:id="88"/>
    <w:bookmarkStart w:id="92" w:name="настройка-маршрутов-1"/>
    <w:p>
      <w:pPr>
        <w:pStyle w:val="Heading2"/>
      </w:pPr>
      <w:r>
        <w:t xml:space="preserve">Настройка маршрутов</w:t>
      </w:r>
    </w:p>
    <w:p>
      <w:pPr>
        <w:numPr>
          <w:ilvl w:val="0"/>
          <w:numId w:val="1016"/>
        </w:numPr>
        <w:pStyle w:val="Compact"/>
      </w:pPr>
      <w:r>
        <w:t xml:space="preserve">gw-02 →</w:t>
      </w:r>
      <w:r>
        <w:t xml:space="preserve"> </w:t>
      </w:r>
      <w:r>
        <w:rPr>
          <w:bCs/>
          <w:b/>
        </w:rPr>
        <w:t xml:space="preserve">1000::/64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1001::1</w:t>
      </w:r>
    </w:p>
    <w:p>
      <w:pPr>
        <w:pStyle w:val="CaptionedFigure"/>
      </w:pPr>
      <w:r>
        <w:drawing>
          <wp:inline>
            <wp:extent cx="4000500" cy="2498178"/>
            <wp:effectExtent b="0" l="0" r="0" t="0"/>
            <wp:docPr descr="IPv6 route gw-02" title="" id="90" name="Picture"/>
            <a:graphic>
              <a:graphicData uri="http://schemas.openxmlformats.org/drawingml/2006/picture">
                <pic:pic>
                  <pic:nvPicPr>
                    <pic:cNvPr descr="image/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 route gw-02</w:t>
      </w:r>
    </w:p>
    <w:bookmarkEnd w:id="92"/>
    <w:bookmarkEnd w:id="93"/>
    <w:bookmarkStart w:id="99" w:name="проверка-ipv6-доступности"/>
    <w:p>
      <w:pPr>
        <w:pStyle w:val="Heading1"/>
      </w:pPr>
      <w:r>
        <w:t xml:space="preserve">Проверка IPv6-доступности</w:t>
      </w:r>
    </w:p>
    <w:bookmarkStart w:id="94" w:name="pc1-pc2"/>
    <w:p>
      <w:pPr>
        <w:pStyle w:val="Heading2"/>
      </w:pPr>
      <w:r>
        <w:t xml:space="preserve">PC1 → PC2</w:t>
      </w:r>
    </w:p>
    <w:p>
      <w:pPr>
        <w:numPr>
          <w:ilvl w:val="0"/>
          <w:numId w:val="1017"/>
        </w:numPr>
        <w:pStyle w:val="Compact"/>
      </w:pPr>
      <w:r>
        <w:t xml:space="preserve">Ping успешен</w:t>
      </w:r>
    </w:p>
    <w:p>
      <w:pPr>
        <w:numPr>
          <w:ilvl w:val="0"/>
          <w:numId w:val="1017"/>
        </w:numPr>
        <w:pStyle w:val="Compact"/>
      </w:pPr>
      <w:r>
        <w:t xml:space="preserve">Traceroute проходит через туннель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PC1 ping6</w:t>
            </w:r>
          </w:p>
        </w:tc>
      </w:tr>
    </w:tbl>
    <w:p>
      <w:pPr>
        <w:pStyle w:val="ImageCaption"/>
      </w:pPr>
      <w:r>
        <w:t xml:space="preserve">PC1 ping6</w:t>
      </w:r>
    </w:p>
    <w:bookmarkEnd w:id="94"/>
    <w:bookmarkStart w:id="98" w:name="pc2-pc1"/>
    <w:p>
      <w:pPr>
        <w:pStyle w:val="Heading2"/>
      </w:pPr>
      <w:r>
        <w:t xml:space="preserve">PC2 → PC1</w:t>
      </w:r>
    </w:p>
    <w:p>
      <w:pPr>
        <w:numPr>
          <w:ilvl w:val="0"/>
          <w:numId w:val="1018"/>
        </w:numPr>
        <w:pStyle w:val="Compact"/>
      </w:pPr>
      <w:r>
        <w:t xml:space="preserve">Двусторонняя IPv6-связность</w:t>
      </w:r>
    </w:p>
    <w:p>
      <w:pPr>
        <w:numPr>
          <w:ilvl w:val="0"/>
          <w:numId w:val="1018"/>
        </w:numPr>
        <w:pStyle w:val="Compact"/>
      </w:pPr>
      <w:r>
        <w:t xml:space="preserve">Корректная маршрутизация</w:t>
      </w:r>
    </w:p>
    <w:p>
      <w:pPr>
        <w:pStyle w:val="CaptionedFigure"/>
      </w:pPr>
      <w:r>
        <w:drawing>
          <wp:inline>
            <wp:extent cx="4267200" cy="1022717"/>
            <wp:effectExtent b="0" l="0" r="0" t="0"/>
            <wp:docPr descr="PC2 ping6" title="" id="96" name="Picture"/>
            <a:graphic>
              <a:graphicData uri="http://schemas.openxmlformats.org/drawingml/2006/picture">
                <pic:pic>
                  <pic:nvPicPr>
                    <pic:cNvPr descr="image/2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PC2 ping6</w:t>
      </w:r>
    </w:p>
    <w:bookmarkEnd w:id="98"/>
    <w:bookmarkEnd w:id="99"/>
    <w:bookmarkStart w:id="104" w:name="анализ-туннельного-трафика"/>
    <w:p>
      <w:pPr>
        <w:pStyle w:val="Heading1"/>
      </w:pPr>
      <w:r>
        <w:t xml:space="preserve">Анализ туннельного трафика</w:t>
      </w:r>
    </w:p>
    <w:bookmarkStart w:id="103" w:name="ipv6-внутри-ipv4"/>
    <w:p>
      <w:pPr>
        <w:pStyle w:val="Heading2"/>
      </w:pPr>
      <w:r>
        <w:t xml:space="preserve">IPv6 внутри IPv4</w:t>
      </w:r>
    </w:p>
    <w:p>
      <w:pPr>
        <w:numPr>
          <w:ilvl w:val="0"/>
          <w:numId w:val="1019"/>
        </w:numPr>
        <w:pStyle w:val="Compact"/>
      </w:pPr>
      <w:r>
        <w:t xml:space="preserve">IPv4-пакеты с</w:t>
      </w:r>
      <w:r>
        <w:t xml:space="preserve"> </w:t>
      </w:r>
      <w:r>
        <w:rPr>
          <w:bCs/>
          <w:b/>
        </w:rPr>
        <w:t xml:space="preserve">protocol = 41</w:t>
      </w:r>
    </w:p>
    <w:p>
      <w:pPr>
        <w:numPr>
          <w:ilvl w:val="0"/>
          <w:numId w:val="1019"/>
        </w:numPr>
        <w:pStyle w:val="Compact"/>
      </w:pPr>
      <w:r>
        <w:t xml:space="preserve">Внутри — ICMPv6</w:t>
      </w:r>
    </w:p>
    <w:p>
      <w:pPr>
        <w:numPr>
          <w:ilvl w:val="0"/>
          <w:numId w:val="1019"/>
        </w:numPr>
        <w:pStyle w:val="Compact"/>
      </w:pPr>
      <w:r>
        <w:t xml:space="preserve">Адреса 1000::a ↔ 1002::a</w:t>
      </w:r>
    </w:p>
    <w:p>
      <w:pPr>
        <w:pStyle w:val="CaptionedFigure"/>
      </w:pPr>
      <w:r>
        <w:drawing>
          <wp:inline>
            <wp:extent cx="4800600" cy="2670281"/>
            <wp:effectExtent b="0" l="0" r="0" t="0"/>
            <wp:docPr descr="IPv6 in IPv4" title="" id="101" name="Picture"/>
            <a:graphic>
              <a:graphicData uri="http://schemas.openxmlformats.org/drawingml/2006/picture">
                <pic:pic>
                  <pic:nvPicPr>
                    <pic:cNvPr descr="image/2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 in IPv4</w:t>
      </w:r>
    </w:p>
    <w:bookmarkEnd w:id="103"/>
    <w:bookmarkEnd w:id="104"/>
    <w:bookmarkStart w:id="106" w:name="итоги-работы"/>
    <w:p>
      <w:pPr>
        <w:pStyle w:val="Heading1"/>
      </w:pPr>
      <w:r>
        <w:t xml:space="preserve">Итоги работы</w:t>
      </w:r>
    </w:p>
    <w:bookmarkStart w:id="105" w:name="основные-результаты"/>
    <w:p>
      <w:pPr>
        <w:pStyle w:val="Heading2"/>
      </w:pPr>
      <w:r>
        <w:t xml:space="preserve">Основные результаты</w:t>
      </w:r>
    </w:p>
    <w:p>
      <w:pPr>
        <w:numPr>
          <w:ilvl w:val="0"/>
          <w:numId w:val="1020"/>
        </w:numPr>
        <w:pStyle w:val="Compact"/>
      </w:pPr>
      <w:r>
        <w:t xml:space="preserve">Построена модель сети IPv4/IPv6 в GNS3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Настроена адресация IPv6 и IPv4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Реализована динамическая маршрутизация IPv4 (RIP)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Создан туннель IPv6 поверх IPv4 (6in4)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Настроена статическая маршрутизация IPv6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Подтверждена работоспособность сети и туннеля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Проанализирована инкапсуляция IPv6-трафика в IPv4</w:t>
      </w:r>
    </w:p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7" Target="media/rId27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Студент: Шихалиева З.Р.</dc:creator>
  <dc:language>ru-RU</dc:language>
  <cp:keywords/>
  <dcterms:created xsi:type="dcterms:W3CDTF">2026-04-04T13:56:13Z</dcterms:created>
  <dcterms:modified xsi:type="dcterms:W3CDTF">2026-04-04T13:56:13Z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Noto Sans</vt:lpwstr>
  </property>
  <property fmtid="{D5CDD505-2E9C-101B-9397-08002B2CF9AE}" pid="10" name="monofont">
    <vt:lpwstr>Noto Sans Mono</vt:lpwstr>
  </property>
  <property fmtid="{D5CDD505-2E9C-101B-9397-08002B2CF9AE}" pid="11" name="papersize">
    <vt:lpwstr>a4</vt:lpwstr>
  </property>
  <property fmtid="{D5CDD505-2E9C-101B-9397-08002B2CF9AE}" pid="12" name="sansfont">
    <vt:lpwstr>Noto Sans</vt:lpwstr>
  </property>
  <property fmtid="{D5CDD505-2E9C-101B-9397-08002B2CF9AE}" pid="13" name="subtitle">
    <vt:lpwstr>Методы кодирования и модуляция сигналов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