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2026-07-17 · 16 breakthroughs · 22 weekly entries</w:t>
      </w:r>
    </w:p>
    <w:p/>
    <w:p>
      <w:pPr>
        <w:pStyle w:val="Heading1"/>
      </w:pPr>
      <w:r>
        <w:t>Latest run · week ending 2026-07-17</w:t>
      </w:r>
    </w:p>
    <w:p>
      <w:r>
        <w:rPr>
          <w:b/>
        </w:rPr>
        <w:t xml:space="preserve">Kind: </w:t>
      </w:r>
      <w:r>
        <w:t>WEEKLY_UPDATE</w:t>
      </w:r>
      <w:r>
        <w:t xml:space="preserve"> · </w:t>
      </w:r>
      <w:r>
        <w:rPr>
          <w:i/>
        </w:rPr>
        <w:t>Generated 2026-07-17T13:39:54</w:t>
      </w:r>
    </w:p>
    <w:p>
      <w:r>
        <w:rPr>
          <w:sz w:val="22"/>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p>
      <w:pPr>
        <w:spacing w:after="40"/>
      </w:pPr>
      <w:r>
        <w:rPr>
          <w:b/>
        </w:rPr>
        <w:t xml:space="preserve">  • New breakthroughs: </w:t>
      </w:r>
      <w:r>
        <w:t>0</w:t>
      </w:r>
    </w:p>
    <w:p>
      <w:pPr>
        <w:spacing w:after="40"/>
      </w:pPr>
      <w:r>
        <w:rPr>
          <w:b/>
        </w:rPr>
        <w:t xml:space="preserve">  • New sub-ideas: </w:t>
      </w:r>
      <w:r>
        <w:t>11</w:t>
      </w:r>
    </w:p>
    <w:p>
      <w:pPr>
        <w:spacing w:after="40"/>
      </w:pPr>
      <w:r>
        <w:rPr>
          <w:b/>
        </w:rPr>
        <w:t xml:space="preserve">  • New frontier results: </w:t>
      </w:r>
      <w:r>
        <w:t>8</w:t>
      </w:r>
    </w:p>
    <w:p>
      <w:pPr>
        <w:spacing w:after="40"/>
      </w:pPr>
      <w:r>
        <w:rPr>
          <w:b/>
        </w:rPr>
        <w:t xml:space="preserve">  • New watch picks: </w:t>
      </w:r>
      <w:r>
        <w:t>5</w:t>
      </w:r>
    </w:p>
    <w:p>
      <w:pPr>
        <w:spacing w:after="40"/>
      </w:pPr>
      <w:r>
        <w:rPr>
          <w:b/>
        </w:rPr>
        <w:t xml:space="preserve">  • New people: </w:t>
      </w:r>
      <w:r>
        <w:t>0</w:t>
      </w:r>
    </w:p>
    <w:p>
      <w:pPr>
        <w:spacing w:after="40"/>
      </w:pPr>
      <w:r>
        <w:rPr>
          <w:b/>
        </w:rPr>
        <w:t xml:space="preserve">  • Updated facts: </w:t>
      </w:r>
      <w:r>
        <w:t>3</w:t>
      </w:r>
    </w:p>
    <w:p>
      <w:pPr>
        <w:pStyle w:val="Heading2"/>
      </w:pPr>
      <w:r>
        <w:t>Highlights</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Moonshot AI releases Kimi K3, 2.8T-param open-weight MoE model</w:t>
      </w:r>
      <w:r>
        <w:t xml:space="preserve"> — </w:t>
      </w:r>
      <w:r>
        <w:t>Moonshot AI released Kimi K3 on July 16, 2026, a 2.8-trillion-parameter open-weight MoE model (16 of 896 experts active, 1M-token context) using new Kimi Delta Attention and Attention Residuals; Moonshot claims ~2.5x better scaling efficiency than Kimi K2, with full weights to follow July 27.</w:t>
      </w:r>
      <w:r>
        <w:rPr>
          <w:color w:val="0969DA"/>
          <w:sz w:val="16"/>
        </w:rPr>
        <w:t xml:space="preserve">  (https://www.marktechpost.com/2026/07/16/moonshot-ai-releases-kimi-k3-a-2-8-trillion-parameter-open-moe-model-with-kimi-delta-attention-and-1m-context/)</w:t>
      </w:r>
      <w:r>
        <w:rPr>
          <w:color w:val="0969DA"/>
          <w:sz w:val="16"/>
        </w:rPr>
        <w:t xml:space="preserve">  (https://www.cnbc.com/2026/07/17/moonshot-ai-kimi-k3-model-openai-anthropic-china.html)</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Thinking Machines ships Inkling, its first open-weight 975B model</w:t>
      </w:r>
      <w:r>
        <w:t xml:space="preserve"> — </w:t>
      </w:r>
      <w:r>
        <w:t>Mira Murati's Thinking Machines Lab released Inkling on July 15, 2026: a 975B-param MoE (41B active) pretrained on 45T multimodal tokens, with weights on Hugging Face and fine-tuning via its Tinker platform; it reportedly matches Nemotron 3 Ultra on Terminal Bench 2.1 using ~1/3 the tokens.</w:t>
      </w:r>
      <w:r>
        <w:rPr>
          <w:color w:val="0969DA"/>
          <w:sz w:val="16"/>
        </w:rPr>
        <w:t xml:space="preserve">  (https://thinkingmachines.ai/news/introducing-inkling/)</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Ring-Zero scales zero-RL reasoning training to 1 trillion parameters</w:t>
      </w:r>
      <w:r>
        <w:t xml:space="preserve"> — </w:t>
      </w:r>
      <w:r>
        <w:t>Researchers from Ant Group, Renmin University, Tsinghua and Zhejiang (arXiv, July 14, 2026) trained Ring-2.5-1T-Zero, showing zero-RL (RLVR without human-annotated CoT) scales to 1T params and spontaneously yields self-verification, parallel reasoning, and 'context anxiety' compute-budget management.</w:t>
      </w:r>
      <w:r>
        <w:rPr>
          <w:color w:val="0969DA"/>
          <w:sz w:val="16"/>
        </w:rPr>
        <w:t xml:space="preserve">  (https://arxiv.org/abs/2607.12395)</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ICML 2026 Outstanding Paper: token order hurts RL in diffusion LMs</w:t>
      </w:r>
      <w:r>
        <w:t xml:space="preserve"> — </w:t>
      </w:r>
      <w:r>
        <w:t>'The Flexibility Trap' (Ni, Wang, Yue et al., Tsinghua/Alibaba) won an ICML 2026 Outstanding Paper Award for showing diffusion LMs' arbitrary-order generation skips high-uncertainty reasoning tokens during RL; its fix, JustGRPO, constrains RL to left-to-right order and reaches 89.1% on GSM8K.</w:t>
      </w:r>
      <w:r>
        <w:rPr>
          <w:color w:val="0969DA"/>
          <w:sz w:val="16"/>
        </w:rPr>
        <w:t xml:space="preserve">  (https://arxiv.org/abs/2601.15165)</w:t>
      </w:r>
      <w:r>
        <w:rPr>
          <w:color w:val="0969DA"/>
          <w:sz w:val="16"/>
        </w:rPr>
        <w:t xml:space="preserve">  (https://blog.icml.cc/2026/07/05/announcing-the-icml-2026-awards/)</w:t>
      </w:r>
      <w:r>
        <w:rPr>
          <w:color w:val="0969DA"/>
          <w:sz w:val="16"/>
        </w:rPr>
        <w:t xml:space="preserve">  (https://github.com/LeapLabTHU/JustGRPO)</w:t>
      </w:r>
    </w:p>
    <w:p>
      <w:pPr>
        <w:spacing w:after="40"/>
      </w:pPr>
      <w:r>
        <w:rPr>
          <w:b/>
          <w:color w:val="0969DA"/>
          <w:sz w:val="18"/>
        </w:rPr>
        <w:t xml:space="preserve">[New frontier result]  </w:t>
      </w:r>
      <w:r>
        <w:rPr>
          <w:i/>
          <w:color w:val="57606A"/>
          <w:sz w:val="18"/>
        </w:rPr>
        <w:t xml:space="preserve">#03 Diffusion models (image + video generation)  </w:t>
      </w:r>
    </w:p>
    <w:p>
      <w:pPr>
        <w:spacing w:after="80"/>
        <w:ind w:left="360"/>
      </w:pPr>
      <w:r>
        <w:rPr>
          <w:b/>
        </w:rPr>
        <w:t>Video diffusion models shown to be general-purpose vision learners</w:t>
      </w:r>
      <w:r>
        <w:t xml:space="preserve"> — </w:t>
      </w:r>
      <w:r>
        <w:t>A July 2026 paper introduces GenCeption, reporting that a pretrained text-to-video diffusion backbone matches or beats specialized vision models on depth, pose and segmentation using 7-500x less training data.</w:t>
      </w:r>
      <w:r>
        <w:rPr>
          <w:color w:val="0969DA"/>
          <w:sz w:val="16"/>
        </w:rPr>
        <w:t xml:space="preserve">  (https://arxiv.org/abs/2607.09024)</w:t>
      </w:r>
    </w:p>
    <w:p>
      <w:pPr>
        <w:spacing w:after="40"/>
      </w:pPr>
      <w:r>
        <w:rPr>
          <w:b/>
          <w:color w:val="9A6700"/>
          <w:sz w:val="18"/>
        </w:rPr>
        <w:t xml:space="preserve">[Updated fact]  </w:t>
      </w:r>
      <w:r>
        <w:rPr>
          <w:i/>
          <w:color w:val="57606A"/>
          <w:sz w:val="18"/>
        </w:rPr>
        <w:t xml:space="preserve">#12 Humanoid robotics  </w:t>
      </w:r>
    </w:p>
    <w:p>
      <w:pPr>
        <w:spacing w:after="80"/>
        <w:ind w:left="360"/>
      </w:pPr>
      <w:r>
        <w:rPr>
          <w:b/>
        </w:rPr>
        <w:t>Hyundai to take full ownership of Boston Dynamics as SoftBank exits</w:t>
      </w:r>
      <w:r>
        <w:t xml:space="preserve"> — </w:t>
      </w:r>
      <w:r>
        <w:t>Hyundai announced July 16, 2026 that SoftBank exercised a put option to sell its remaining ~9.65% stake in Boston Dynamics, moving the company to full Hyundai-affiliate ownership as Atlas humanoids head toward 2028 parts-sequencing work at Hyundai's Georgia Metaplant.</w:t>
      </w:r>
      <w:r>
        <w:rPr>
          <w:color w:val="0969DA"/>
          <w:sz w:val="16"/>
        </w:rPr>
        <w:t xml:space="preserve">  (https://www.koreaherald.com/article/10811183)</w:t>
      </w:r>
    </w:p>
    <w:p>
      <w:pPr>
        <w:spacing w:after="40"/>
      </w:pPr>
      <w:r>
        <w:rPr>
          <w:b/>
          <w:color w:val="9A6700"/>
          <w:sz w:val="18"/>
        </w:rPr>
        <w:t xml:space="preserve">[Updated fact]  </w:t>
      </w:r>
      <w:r>
        <w:rPr>
          <w:i/>
          <w:color w:val="57606A"/>
          <w:sz w:val="18"/>
        </w:rPr>
        <w:t xml:space="preserve">#12 Humanoid robotics  </w:t>
      </w:r>
    </w:p>
    <w:p>
      <w:pPr>
        <w:spacing w:after="80"/>
        <w:ind w:left="360"/>
      </w:pPr>
      <w:r>
        <w:rPr>
          <w:b/>
        </w:rPr>
        <w:t>Unitree IPO prospectus shows 60% margins ahead of STAR Market debut</w:t>
      </w:r>
      <w:r>
        <w:t xml:space="preserve"> — </w:t>
      </w:r>
      <w:r>
        <w:t>Unitree's STAR Market prospectus (the SSE listing committee cleared it June 1 after a record 73-day review; CSRC approved the ~$618-619M raise July 3) discloses FY2025 core gross margin of 60.27%, revenue ~RMB1.699B (~$250M) and net profit RMB278M, driven by in-house quasi-direct-drive actuators; listing expected as early as late July 2026.</w:t>
      </w:r>
      <w:r>
        <w:rPr>
          <w:color w:val="0969DA"/>
          <w:sz w:val="16"/>
        </w:rPr>
        <w:t xml:space="preserve">  (https://www.techtimes.com/articles/320711/20260716/unitree-robotics-nears-shanghai-ipo-profitable-actuators-exposed-chinas-spy-law.htm)</w:t>
      </w:r>
      <w:r>
        <w:rPr>
          <w:color w:val="0969DA"/>
          <w:sz w:val="16"/>
        </w:rPr>
        <w:t xml:space="preserve">  (https://www.caixinglobal.com/2026-07-03/unitree-robotics-wins-approval-for-618-million-star-market-ipo-102460136.html)</w:t>
      </w:r>
    </w:p>
    <w:p>
      <w:pPr>
        <w:spacing w:after="40"/>
      </w:pPr>
      <w:r>
        <w:rPr>
          <w:b/>
          <w:color w:val="6639BA"/>
          <w:sz w:val="18"/>
        </w:rPr>
        <w:t xml:space="preserve">[New sub-idea]  </w:t>
      </w:r>
      <w:r>
        <w:rPr>
          <w:i/>
          <w:color w:val="57606A"/>
          <w:sz w:val="18"/>
        </w:rPr>
        <w:t xml:space="preserve">#11 Self-driving cars / robotaxis  </w:t>
      </w:r>
    </w:p>
    <w:p>
      <w:pPr>
        <w:spacing w:after="80"/>
        <w:ind w:left="360"/>
      </w:pPr>
      <w:r>
        <w:rPr>
          <w:b/>
        </w:rPr>
        <w:t>NHTSA presses AV makers on first-responder interference; meets Jul 31</w:t>
      </w:r>
      <w:r>
        <w:t xml:space="preserve"> — </w:t>
      </w:r>
      <w:r>
        <w:t>NHTSA issued a July 8, 2026 directive to AV developers calling repeated interference with ambulances, firefighters and emergency scenes a 'functional insufficiency,' and will convene meetings with AV developers by July 31, 2026 to hear proposed solutions, following incidents where officers physically moved Waymo vehicles from active emergency scenes.</w:t>
      </w:r>
      <w:r>
        <w:rPr>
          <w:color w:val="0969DA"/>
          <w:sz w:val="16"/>
        </w:rPr>
        <w:t xml:space="preserve">  (https://www.nhtsa.gov/sites/nhtsa.gov/files/2026-07/ADS-developers-letter-july-2026.pdf)</w:t>
      </w:r>
      <w:r>
        <w:rPr>
          <w:color w:val="0969DA"/>
          <w:sz w:val="16"/>
        </w:rPr>
        <w:t xml:space="preserve">  (https://techcrunch.com/2026/07/08/feds-demand-autonomous-vehicle-companies-stop-interfering-with-first-responders/)</w:t>
      </w:r>
    </w:p>
    <w:p>
      <w:pPr>
        <w:spacing w:after="40"/>
      </w:pPr>
      <w:r>
        <w:rPr>
          <w:b/>
          <w:color w:val="6639BA"/>
          <w:sz w:val="18"/>
        </w:rPr>
        <w:t xml:space="preserve">[New sub-idea]  </w:t>
      </w:r>
      <w:r>
        <w:rPr>
          <w:i/>
          <w:color w:val="57606A"/>
          <w:sz w:val="18"/>
        </w:rPr>
        <w:t xml:space="preserve">#16 AI dev ecosystem &amp; agent primitives (MCP, skills, agents, orchestration)  </w:t>
      </w:r>
    </w:p>
    <w:p>
      <w:pPr>
        <w:spacing w:after="80"/>
        <w:ind w:left="360"/>
      </w:pPr>
      <w:r>
        <w:rPr>
          <w:b/>
        </w:rPr>
        <w:t>Salesforce launches pay-per-resolution AI customer-service agent</w:t>
      </w:r>
      <w:r>
        <w:t xml:space="preserve"> — </w:t>
      </w:r>
      <w:r>
        <w:t>Salesforce announced (June 25, 2026) its Agentforce Help Agent with outcome-based pricing (reported by trade press at a flat $2 only when the agent autonomously resolves a case; no charge on escalation), building on 4.3M inquiries handled and a claimed 70% autonomous resolution rate on help.salesforce.com.</w:t>
      </w:r>
      <w:r>
        <w:rPr>
          <w:color w:val="0969DA"/>
          <w:sz w:val="16"/>
        </w:rPr>
        <w:t xml:space="preserve">  (https://www.salesforce.com/news/stories/agentforce-help-agent-announcement/)</w:t>
      </w:r>
    </w:p>
    <w:p>
      <w:pPr>
        <w:spacing w:after="40"/>
      </w:pPr>
      <w:r>
        <w:rPr>
          <w:b/>
          <w:color w:val="0969DA"/>
          <w:sz w:val="18"/>
        </w:rPr>
        <w:t xml:space="preserve">[New frontier result]  </w:t>
      </w:r>
      <w:r>
        <w:rPr>
          <w:i/>
          <w:color w:val="57606A"/>
          <w:sz w:val="18"/>
        </w:rPr>
        <w:t xml:space="preserve">#04 AlphaFold + computational protein design  </w:t>
      </w:r>
    </w:p>
    <w:p>
      <w:pPr>
        <w:spacing w:after="80"/>
        <w:ind w:left="360"/>
      </w:pPr>
      <w:r>
        <w:rPr>
          <w:b/>
        </w:rPr>
        <w:t>AI designs functional CRISPR nucleases not found in nature</w:t>
      </w:r>
      <w:r>
        <w:t xml:space="preserve"> — </w:t>
      </w:r>
      <w:r>
        <w:t>Jennifer Doudna's team used AI structure-based design to reverse-engineer synthetic TnpB/Cas12-family nucleases that edit genes more efficiently than natural variants; published in Science on July 16, 2026 (Skopintsev et al.).</w:t>
      </w:r>
      <w:r>
        <w:rPr>
          <w:color w:val="0969DA"/>
          <w:sz w:val="16"/>
        </w:rPr>
        <w:t xml:space="preserve">  (https://www.nature.com/articles/d41586-026-02217-w)</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CRISPR-Cas12a2 DNA-shredding enzyme selectively kills cancer cells</w:t>
      </w:r>
      <w:r>
        <w:t xml:space="preserve"> — </w:t>
      </w:r>
      <w:r>
        <w:t>Two Nature papers show the nuclease Cas12a2 can be programmed to detect disease-linked RNA (e.g., mutant KRAS/TP53) and trigger DNA-shredding cell death, eliminating tumor cells in mouse models while sparing healthy cells; spotlighted in Nature's July 14, 2026 News &amp; Views.</w:t>
      </w:r>
      <w:r>
        <w:rPr>
          <w:color w:val="0969DA"/>
          <w:sz w:val="16"/>
        </w:rPr>
        <w:t xml:space="preserve">  (https://www.nature.com/articles/s41586-026-10466-y)</w:t>
      </w:r>
      <w:r>
        <w:rPr>
          <w:color w:val="0969DA"/>
          <w:sz w:val="16"/>
        </w:rPr>
        <w:t xml:space="preserve">  (https://www.nature.com/articles/d41586-026-02122-2)</w:t>
      </w:r>
    </w:p>
    <w:p>
      <w:pPr>
        <w:spacing w:after="40"/>
      </w:pPr>
      <w:r>
        <w:rPr>
          <w:b/>
          <w:color w:val="6639BA"/>
          <w:sz w:val="18"/>
        </w:rPr>
        <w:t xml:space="preserve">[New sub-idea]  </w:t>
      </w:r>
      <w:r>
        <w:rPr>
          <w:i/>
          <w:color w:val="57606A"/>
          <w:sz w:val="18"/>
        </w:rPr>
        <w:t xml:space="preserve">#06 GLP-1 agonists  </w:t>
      </w:r>
    </w:p>
    <w:p>
      <w:pPr>
        <w:spacing w:after="80"/>
        <w:ind w:left="360"/>
      </w:pPr>
      <w:r>
        <w:rPr>
          <w:b/>
        </w:rPr>
        <w:t>Oral GLP-1 pill aleniglipron shows 11.3% weight loss in Ph2 (Nat Med)</w:t>
      </w:r>
      <w:r>
        <w:t xml:space="preserve"> — </w:t>
      </w:r>
      <w:r>
        <w:t>Structure Therapeutics' aleniglipron, a non-peptide oral small-molecule GLP-1 receptor agonist, produced placebo-adjusted weight loss of 11.3% at 36 weeks in the peer-reviewed Phase 2 ACCESS trial (Nature Medicine); a separate higher-dose trial reported up to 16.3% in as-yet-unpublished topline data; Phase 3 slated for 2H 2026.</w:t>
      </w:r>
      <w:r>
        <w:rPr>
          <w:color w:val="0969DA"/>
          <w:sz w:val="16"/>
        </w:rPr>
        <w:t xml:space="preserve">  (https://www.nature.com/articles/s41591-026-04476-6)</w:t>
      </w:r>
      <w:r>
        <w:rPr>
          <w:color w:val="0969DA"/>
          <w:sz w:val="16"/>
        </w:rPr>
        <w:t xml:space="preserve">  (https://ir.structuretx.com/news-releases/news-release-details/structure-therapeutics-reports-positive-topline-data-phase-2)</w:t>
      </w:r>
    </w:p>
    <w:p>
      <w:pPr>
        <w:spacing w:after="40"/>
      </w:pPr>
      <w:r>
        <w:rPr>
          <w:b/>
          <w:color w:val="6639BA"/>
          <w:sz w:val="18"/>
        </w:rPr>
        <w:t xml:space="preserve">[New sub-idea]  </w:t>
      </w:r>
      <w:r>
        <w:rPr>
          <w:i/>
          <w:color w:val="57606A"/>
          <w:sz w:val="18"/>
        </w:rPr>
        <w:t xml:space="preserve">#14 Brain-computer interfaces  </w:t>
      </w:r>
    </w:p>
    <w:p>
      <w:pPr>
        <w:spacing w:after="80"/>
        <w:ind w:left="360"/>
      </w:pPr>
      <w:r>
        <w:rPr>
          <w:b/>
        </w:rPr>
        <w:t>Neuralink debuts transdural implant technique, skips dura removal</w:t>
      </w:r>
      <w:r>
        <w:t xml:space="preserve"> — </w:t>
      </w:r>
      <w:r>
        <w:t>Neuralink performed its first transdural BCI implant, threading electrode threads through the intact dura with a thicker-needle robotic technique rather than removing it, in an ALS patient (a Vancouver, BC police sergeant; surgery performed in Toronto) who became the first Canadian ALS recipient and roughly the 26th Neuralink participant globally.</w:t>
      </w:r>
      <w:r>
        <w:rPr>
          <w:color w:val="0969DA"/>
          <w:sz w:val="16"/>
        </w:rPr>
        <w:t xml:space="preserve">  (https://www.cbc.ca/news/canada/british-columbia/vancouver-neuralink-patient-als-vpd-sergeant-9.7253579)</w:t>
      </w:r>
    </w:p>
    <w:p>
      <w:pPr>
        <w:spacing w:after="40"/>
      </w:pPr>
      <w:r>
        <w:rPr>
          <w:b/>
          <w:color w:val="0969DA"/>
          <w:sz w:val="18"/>
        </w:rPr>
        <w:t xml:space="preserve">[New frontier result]  </w:t>
      </w:r>
      <w:r>
        <w:rPr>
          <w:i/>
          <w:color w:val="57606A"/>
          <w:sz w:val="18"/>
        </w:rPr>
        <w:t xml:space="preserve">#05 mRNA vaccines + LNP delivery  </w:t>
      </w:r>
    </w:p>
    <w:p>
      <w:pPr>
        <w:spacing w:after="80"/>
        <w:ind w:left="360"/>
      </w:pPr>
      <w:r>
        <w:rPr>
          <w:b/>
        </w:rPr>
        <w:t>mRNA vaccines prime T cells via unexpected cDC2 cross-dressing route</w:t>
      </w:r>
      <w:r>
        <w:t xml:space="preserve"> — </w:t>
      </w:r>
      <w:r>
        <w:t>WashU researchers show mRNA-LNP vaccines do not require cDC1 cells for CD8+ T-cell priming as long assumed; a redundant, interferon-dependent cDC2 'cross-dressing' pathway also drives strong anti-tumor T-cell responses (Nature), with implications for mRNA cancer-vaccine design.</w:t>
      </w:r>
      <w:r>
        <w:rPr>
          <w:color w:val="0969DA"/>
          <w:sz w:val="16"/>
        </w:rPr>
        <w:t xml:space="preserve">  (https://www.nature.com/articles/s41586-026-10353-6)</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NVIDIA AI decoder cuts color-code QEC logical error rate up to 347x</w:t>
      </w:r>
      <w:r>
        <w:t xml:space="preserve"> — </w:t>
      </w:r>
      <w:r>
        <w:t>NVIDIA's open-source Ising Decoder ColorCode 1 Fast, a ~2.9M-param 3D-CNN pre-decoder, cut logical error rates up to 347.7x and ran 7.3x faster than the Chromobius decoder at code distance 31, benchmarked on a DGX GB300 system.</w:t>
      </w:r>
      <w:r>
        <w:rPr>
          <w:color w:val="0969DA"/>
          <w:sz w:val="16"/>
        </w:rPr>
        <w:t xml:space="preserve">  (https://developer.nvidia.com/blog/nvidia-ising-decoding-cuts-color-code-logical-error-rates-by-over-300x/)</w:t>
      </w:r>
      <w:r>
        <w:rPr>
          <w:color w:val="0969DA"/>
          <w:sz w:val="16"/>
        </w:rPr>
        <w:t xml:space="preserve">  (https://thequantuminsider.com/2026/07/15/nvidia-says-ai-decoder-achieved-up-to-347-x-cut-in-quantum-logical-error-rates/)</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EU launches EUR50M Q-PLANET pilot line for neutral-atom quantum chips</w:t>
      </w:r>
      <w:r>
        <w:t xml:space="preserve"> — </w:t>
      </w:r>
      <w:r>
        <w:t>The Chips Joint Undertaking and Pasqal kicked off Q-PLANET on July 8-9, 2026: a EUR50M pilot production line with 28 partners across 11 EU states to industrialize neutral-atom quantum hardware (laser sources, atom chips, vapor cells) via open design kits, targeting TRL4-to-6.</w:t>
      </w:r>
      <w:r>
        <w:rPr>
          <w:color w:val="0969DA"/>
          <w:sz w:val="16"/>
        </w:rPr>
        <w:t xml:space="preserve">  (https://thequantuminsider.com/2026/07/13/launch-of-q-planet-european-pilot-line-to-industrialize-neutral-atom-quantum-chips/)</w:t>
      </w:r>
    </w:p>
    <w:p>
      <w:pPr>
        <w:spacing w:after="40"/>
      </w:pPr>
      <w:r>
        <w:rPr>
          <w:b/>
          <w:color w:val="6639BA"/>
          <w:sz w:val="18"/>
        </w:rPr>
        <w:t xml:space="preserve">[New sub-idea]  </w:t>
      </w:r>
      <w:r>
        <w:rPr>
          <w:i/>
          <w:color w:val="57606A"/>
          <w:sz w:val="18"/>
        </w:rPr>
        <w:t xml:space="preserve">#09 Reusable rockets (Falcon 9 + Starship catch)  </w:t>
      </w:r>
    </w:p>
    <w:p>
      <w:pPr>
        <w:spacing w:after="80"/>
        <w:ind w:left="360"/>
      </w:pPr>
      <w:r>
        <w:rPr>
          <w:b/>
        </w:rPr>
        <w:t>Rocket Lab completes full-duration hot fire of Neutron's AVac engine</w:t>
      </w:r>
      <w:r>
        <w:t xml:space="preserve"> — </w:t>
      </w:r>
      <w:r>
        <w:t>On July 13, 2026 Rocket Lab ran a ~5.5-minute full-duration static fire of the Archimedes Vacuum (AVac) second-stage engine at NASA Stennis, a key qualification milestone ahead of the partially-reusable Neutron rocket's targeted late-2026 debut.</w:t>
      </w:r>
      <w:r>
        <w:rPr>
          <w:color w:val="0969DA"/>
          <w:sz w:val="16"/>
        </w:rPr>
        <w:t xml:space="preserve">  (https://www.space.com/space-exploration/watch-archimedes-burn-rocket-lab-fires-up-engine-for-its-powerful-next-gen-neutron-launcher-video)</w:t>
      </w:r>
    </w:p>
    <w:p>
      <w:pPr>
        <w:spacing w:after="40"/>
      </w:pPr>
      <w:r>
        <w:rPr>
          <w:b/>
          <w:color w:val="6639BA"/>
          <w:sz w:val="18"/>
        </w:rPr>
        <w:t xml:space="preserve">[New sub-idea]  </w:t>
      </w:r>
      <w:r>
        <w:rPr>
          <w:i/>
          <w:color w:val="57606A"/>
          <w:sz w:val="18"/>
        </w:rPr>
        <w:t xml:space="preserve">#09 Reusable rockets (Falcon 9 + Starship catch)  </w:t>
      </w:r>
    </w:p>
    <w:p>
      <w:pPr>
        <w:spacing w:after="80"/>
        <w:ind w:left="360"/>
      </w:pPr>
      <w:r>
        <w:rPr>
          <w:b/>
        </w:rPr>
        <w:t>Rocket Lab launches LOXSAT for cryogenic depot refueling demo</w:t>
      </w:r>
      <w:r>
        <w:t xml:space="preserve"> — </w:t>
      </w:r>
      <w:r>
        <w:t>Rocket Lab targeted mid-July 2026 (around July 16) to launch an Electron carrying LOXSAT, a NASA/Eta Space cryogenic fluid-management satellite that will run 11 liquid-oxygen transfer demonstrations over 9 months to inform Eta's planned 2030 Cryo-Dock propellant depot.</w:t>
      </w:r>
      <w:r>
        <w:rPr>
          <w:color w:val="0969DA"/>
          <w:sz w:val="16"/>
        </w:rPr>
        <w:t xml:space="preserve">  (https://rocketlabcorp.com/missions/launches/loxsat/)</w:t>
      </w:r>
      <w:r>
        <w:rPr>
          <w:color w:val="0969DA"/>
          <w:sz w:val="16"/>
        </w:rPr>
        <w:t xml:space="preserve">  (https://www.techtimes.com/articles/320566/20260715/rocket-labs-loxsat-mission-targets-thursday-fill-orbital-refueling-data-gap.htm)</w:t>
      </w:r>
    </w:p>
    <w:p>
      <w:pPr>
        <w:spacing w:after="40"/>
      </w:pPr>
      <w:r>
        <w:rPr>
          <w:b/>
          <w:color w:val="9A6700"/>
          <w:sz w:val="18"/>
        </w:rPr>
        <w:t xml:space="preserve">[Updated fact]  </w:t>
      </w:r>
      <w:r>
        <w:rPr>
          <w:i/>
          <w:color w:val="57606A"/>
          <w:sz w:val="18"/>
        </w:rPr>
        <w:t xml:space="preserve">#10 Renewables + battery cost collapse  </w:t>
      </w:r>
    </w:p>
    <w:p>
      <w:pPr>
        <w:spacing w:after="80"/>
        <w:ind w:left="360"/>
      </w:pPr>
      <w:r>
        <w:rPr>
          <w:b/>
        </w:rPr>
        <w:t>Lazard's 2026 LCOE+: storage costs reverse decline on Li-ion tariffs</w:t>
      </w:r>
      <w:r>
        <w:t xml:space="preserve"> — </w:t>
      </w:r>
      <w:r>
        <w:t>Lazard's 19th annual LCOE+ report (July 13, 2026) found unsubsidized renewables still the cheapest new-build generation, but standalone battery-storage costs rose for the first time in years as tariffs and FEOC rules curtailed low-cost Chinese Li-ion access, while new-build gas LCOE hit a 15-year high.</w:t>
      </w:r>
      <w:r>
        <w:rPr>
          <w:color w:val="0969DA"/>
          <w:sz w:val="16"/>
        </w:rPr>
        <w:t xml:space="preserve">  (https://www.lazard.com/news-announcements/lazard-releases-2026-levelized-cost-of-energyplus-report-pr/)</w:t>
      </w:r>
    </w:p>
    <w:p>
      <w:pPr>
        <w:spacing w:after="40"/>
      </w:pPr>
      <w:r>
        <w:rPr>
          <w:b/>
          <w:color w:val="6639BA"/>
          <w:sz w:val="18"/>
        </w:rPr>
        <w:t xml:space="preserve">[New sub-idea]  </w:t>
      </w:r>
      <w:r>
        <w:rPr>
          <w:i/>
          <w:color w:val="57606A"/>
          <w:sz w:val="18"/>
        </w:rPr>
        <w:t xml:space="preserve">#10 Renewables + battery cost collapse  </w:t>
      </w:r>
    </w:p>
    <w:p>
      <w:pPr>
        <w:spacing w:after="80"/>
        <w:ind w:left="360"/>
      </w:pPr>
      <w:r>
        <w:rPr>
          <w:b/>
        </w:rPr>
        <w:t>Eos Energy's zinc LDES batteries picked for Golden Dome</w:t>
      </w:r>
      <w:r>
        <w:t xml:space="preserve"> — </w:t>
      </w:r>
      <w:r>
        <w:t>Eos Energy announced July 15, 2026 a Department of War contract to deploy its non-flammable Z3 zinc-based long-duration battery (~91% domestic content) as an initial prototype supporting Golden Dome missile-defense power infrastructure.</w:t>
      </w:r>
      <w:r>
        <w:rPr>
          <w:color w:val="0969DA"/>
          <w:sz w:val="16"/>
        </w:rPr>
        <w:t xml:space="preserve">  (https://www.globenewswire.com/news-release/2026/07/15/3328154/0/en/Eos-Energy-Enterprises-Selected-to-Deliver-Mission-Ready-Power-for-Golden-Dome-for-America.html)</w:t>
      </w:r>
    </w:p>
    <w:p>
      <w:pPr>
        <w:spacing w:after="40"/>
      </w:pPr>
      <w:r>
        <w:rPr>
          <w:b/>
          <w:color w:val="0E6E6F"/>
          <w:sz w:val="18"/>
        </w:rPr>
        <w:t xml:space="preserve">[New watch pick]  </w:t>
      </w:r>
      <w:r>
        <w:rPr>
          <w:i/>
          <w:color w:val="57606A"/>
          <w:sz w:val="18"/>
        </w:rPr>
        <w:t xml:space="preserve">#13 Fusion energy  </w:t>
      </w:r>
    </w:p>
    <w:p>
      <w:pPr>
        <w:spacing w:after="80"/>
        <w:ind w:left="360"/>
      </w:pPr>
      <w:r>
        <w:rPr>
          <w:b/>
        </w:rPr>
        <w:t>General Fusion becomes first fusion company listed on Nasdaq (GFUZ)</w:t>
      </w:r>
      <w:r>
        <w:t xml:space="preserve"> — </w:t>
      </w:r>
      <w:r>
        <w:t>General Fusion began trading on Nasdaq as GFUZ on July 13, 2026 after closing its SPAC merger with Spring Valley Acquisition Corp. III, entering public markets with ~$150M cash to fund its Magnetized Target Fusion (LM26) program toward Lawson-criterion milestones targeted for 2028.</w:t>
      </w:r>
      <w:r>
        <w:rPr>
          <w:color w:val="0969DA"/>
          <w:sz w:val="16"/>
        </w:rPr>
        <w:t xml:space="preserve">  (https://generalfusion.com/post/general-fusion-becomes-first-publicly-listed-fusion-company/)</w:t>
      </w:r>
    </w:p>
    <w:p>
      <w:pPr>
        <w:spacing w:after="40"/>
      </w:pPr>
      <w:r>
        <w:rPr>
          <w:b/>
          <w:color w:val="6639BA"/>
          <w:sz w:val="18"/>
        </w:rPr>
        <w:t xml:space="preserve">[New sub-idea]  </w:t>
      </w:r>
      <w:r>
        <w:rPr>
          <w:i/>
          <w:color w:val="57606A"/>
          <w:sz w:val="18"/>
        </w:rPr>
        <w:t xml:space="preserve">#15 AI accelerators / advanced compute  </w:t>
      </w:r>
    </w:p>
    <w:p>
      <w:pPr>
        <w:spacing w:after="80"/>
        <w:ind w:left="360"/>
      </w:pPr>
      <w:r>
        <w:rPr>
          <w:b/>
        </w:rPr>
        <w:t>Cerebras to scale wafer-scale AI inference to 200MW in Europe</w:t>
      </w:r>
      <w:r>
        <w:t xml:space="preserve"> — </w:t>
      </w:r>
      <w:r>
        <w:t>Cerebras announced July 9, 2026 its first international data-center build-out: an initial European CS-3 wafer-scale site online by end of 2026, scaling to 200MW across France, Norway and Finland by end of 2027, partly serving OpenAI inference workloads.</w:t>
      </w:r>
      <w:r>
        <w:rPr>
          <w:color w:val="0969DA"/>
          <w:sz w:val="16"/>
        </w:rPr>
        <w:t xml:space="preserve">  (https://investors.cerebras.ai/news-releases/news-release-details/cerebras-systems-accelerates-european-expansion-200mw-ai-compute)</w:t>
      </w:r>
    </w:p>
    <w:p>
      <w:pPr>
        <w:spacing w:after="40"/>
      </w:pPr>
      <w:r>
        <w:rPr>
          <w:b/>
          <w:color w:val="57606A"/>
          <w:sz w:val="18"/>
        </w:rPr>
        <w:t xml:space="preserve">[NEW_VOICE]  </w:t>
      </w:r>
    </w:p>
    <w:p>
      <w:pPr>
        <w:spacing w:after="80"/>
        <w:ind w:left="360"/>
      </w:pPr>
      <w:r>
        <w:rPr>
          <w:b/>
        </w:rPr>
        <w:t>Jack Lindsey — Anthropic lead behind Claude's 'global workspace'</w:t>
      </w:r>
      <w:r>
        <w:t xml:space="preserve"> — </w:t>
      </w:r>
      <w:r>
        <w:t>Anthropic interpretability researcher leading the 'Model Psych' team; co-led a July 6, 2026 paper finding a small internal workspace in Claude that functions like a neuroscience global workspace, drawing heavy press this week.</w:t>
      </w:r>
      <w:r>
        <w:rPr>
          <w:color w:val="0969DA"/>
          <w:sz w:val="16"/>
        </w:rPr>
        <w:t xml:space="preserve">  (https://www.anthropic.com/research/global-workspace)</w:t>
      </w:r>
      <w:r>
        <w:rPr>
          <w:color w:val="0969DA"/>
          <w:sz w:val="16"/>
        </w:rPr>
        <w:t xml:space="preserve">  (https://www.technologyreview.com/2026/07/09/1140293/anthropic-found-a-hidden-space-where-claude-puzzles-over-concepts/)</w:t>
      </w:r>
    </w:p>
    <w:p>
      <w:pPr>
        <w:spacing w:after="40"/>
      </w:pPr>
      <w:r>
        <w:rPr>
          <w:b/>
          <w:color w:val="57606A"/>
          <w:sz w:val="18"/>
        </w:rPr>
        <w:t xml:space="preserve">[NEW_VOICE]  </w:t>
      </w:r>
    </w:p>
    <w:p>
      <w:pPr>
        <w:spacing w:after="80"/>
        <w:ind w:left="360"/>
      </w:pPr>
      <w:r>
        <w:rPr>
          <w:b/>
        </w:rPr>
        <w:t>Kate Adamala — built the first synthetic cell with a full life cycle</w:t>
      </w:r>
      <w:r>
        <w:t xml:space="preserve"> — </w:t>
      </w:r>
      <w:r>
        <w:t>University of Minnesota synthetic biologist who led 'SpudCell,' a synthetic cell built from non-living components that can feed, grow, replicate, divide and undergo selection; now launching Biotic, a public-benefit org to open the platform to other labs.</w:t>
      </w:r>
      <w:r>
        <w:rPr>
          <w:color w:val="0969DA"/>
          <w:sz w:val="16"/>
        </w:rPr>
        <w:t xml:space="preserve">  (https://twin-cities.umn.edu/news-events/worlds-first-synthetic-cell-complete-life-cycle-could-revolutionize-biological)</w:t>
      </w:r>
      <w:r>
        <w:rPr>
          <w:color w:val="0969DA"/>
          <w:sz w:val="16"/>
        </w:rPr>
        <w:t xml:space="preserve">  (https://www.science.org/content/article/lab-created-spudcell-marks-major-step-toward-building-life-scratch)</w:t>
      </w:r>
    </w:p>
    <w:p>
      <w:pPr>
        <w:spacing w:after="40"/>
      </w:pPr>
      <w:r>
        <w:rPr>
          <w:b/>
          <w:color w:val="57606A"/>
          <w:sz w:val="18"/>
        </w:rPr>
        <w:t xml:space="preserve">[NEW_VOICE]  </w:t>
      </w:r>
    </w:p>
    <w:p>
      <w:pPr>
        <w:spacing w:after="80"/>
        <w:ind w:left="360"/>
      </w:pPr>
      <w:r>
        <w:rPr>
          <w:b/>
        </w:rPr>
        <w:t>Sarah Ball — ICML 2026 award for AI-alignment dual-use critique</w:t>
      </w:r>
      <w:r>
        <w:t xml:space="preserve"> — </w:t>
      </w:r>
      <w:r>
        <w:t>MCML/LMU Munich PhD researcher who won an ICML 2026 Outstanding Position Paper Award (with Phil Hackemann) for arguing that alignment tooling like RLHF and Constitutional AI is dual-use infrastructure governments can repurpose for censorship.</w:t>
      </w:r>
      <w:r>
        <w:rPr>
          <w:color w:val="0969DA"/>
          <w:sz w:val="16"/>
        </w:rPr>
        <w:t xml:space="preserve">  (https://mcml.ai/news/2026-07-08-ball-award-best-paper-icml/)</w:t>
      </w:r>
      <w:r>
        <w:rPr>
          <w:color w:val="0969DA"/>
          <w:sz w:val="16"/>
        </w:rPr>
        <w:t xml:space="preserve">  (https://openreview.net/forum?id=dy2HwmOvFX)</w:t>
      </w:r>
    </w:p>
    <w:p>
      <w:pPr>
        <w:spacing w:after="40"/>
      </w:pPr>
      <w:r>
        <w:rPr>
          <w:b/>
          <w:color w:val="57606A"/>
          <w:sz w:val="18"/>
        </w:rPr>
        <w:t xml:space="preserve">[TRENDING_IDEA]  </w:t>
      </w:r>
    </w:p>
    <w:p>
      <w:pPr>
        <w:spacing w:after="80"/>
        <w:ind w:left="360"/>
      </w:pPr>
      <w:r>
        <w:rPr>
          <w:b/>
        </w:rPr>
        <w:t>World Action Models converge as the successor to VLAs</w:t>
      </w:r>
      <w:r>
        <w:t xml:space="preserve"> — </w:t>
      </w:r>
      <w:r>
        <w:t>Multiple independent voices are converging on video-native 'World Action Models' as the successor to LLM-bolted-on VLA architectures for embodied AI, with fresh papers this week delivering on the thesis.</w:t>
      </w:r>
      <w:r>
        <w:rPr>
          <w:color w:val="0969DA"/>
          <w:sz w:val="16"/>
        </w:rPr>
        <w:t xml:space="preserve">  (https://icml.cc/virtual/2026/poster/67241)</w:t>
      </w:r>
      <w:r>
        <w:rPr>
          <w:color w:val="0969DA"/>
          <w:sz w:val="16"/>
        </w:rPr>
        <w:t xml:space="preserve">  (https://arxiv.org/abs/2607.13017)</w:t>
      </w:r>
      <w:r>
        <w:rPr>
          <w:color w:val="0969DA"/>
          <w:sz w:val="16"/>
        </w:rPr>
        <w:t xml:space="preserve">  (https://www.technologyreview.com/2026/01/22/1131661/yann-lecuns-new-venture-ami-labs/)</w:t>
      </w:r>
    </w:p>
    <w:p>
      <w:pPr>
        <w:spacing w:after="40"/>
      </w:pPr>
      <w:r>
        <w:rPr>
          <w:b/>
          <w:color w:val="57606A"/>
          <w:sz w:val="18"/>
        </w:rPr>
        <w:t xml:space="preserve">[TRENDING_IDEA]  </w:t>
      </w:r>
    </w:p>
    <w:p>
      <w:pPr>
        <w:spacing w:after="80"/>
        <w:ind w:left="360"/>
      </w:pPr>
      <w:r>
        <w:rPr>
          <w:b/>
        </w:rPr>
        <w:t>Open-weight models face a near-term regulatory cliff</w:t>
      </w:r>
      <w:r>
        <w:t xml:space="preserve"> — </w:t>
      </w:r>
      <w:r>
        <w:t>Interconnects' Nathan Lambert argues open-weight AI faces its most serious regulatory threat yet, pointing to reported US policy discussions that could restrict or delay frontier-capable open models; the same 'closing window' theme surfaced on the Sharp China podcast.</w:t>
      </w:r>
      <w:r>
        <w:rPr>
          <w:color w:val="0969DA"/>
          <w:sz w:val="16"/>
        </w:rPr>
        <w:t xml:space="preserve">  (https://www.interconnects.ai/p/6-months-to-live-for-open-models)</w:t>
      </w:r>
    </w:p>
    <w:p>
      <w:pPr>
        <w:spacing w:after="40"/>
      </w:pPr>
      <w:r>
        <w:rPr>
          <w:b/>
          <w:color w:val="57606A"/>
          <w:sz w:val="18"/>
        </w:rPr>
        <w:t xml:space="preserve">[BROAD_SCAN]  </w:t>
      </w:r>
    </w:p>
    <w:p>
      <w:pPr>
        <w:spacing w:after="80"/>
        <w:ind w:left="360"/>
      </w:pPr>
      <w:r>
        <w:rPr>
          <w:b/>
        </w:rPr>
        <w:t>Airhive-Carbyon deal signals a DAC industry consolidation phase</w:t>
      </w:r>
      <w:r>
        <w:t xml:space="preserve"> — </w:t>
      </w:r>
      <w:r>
        <w:t>London DAC startup Airhive acquired Dutch rival Carbyon on July 14, 2026, forming one of Europe's largest integrated direct-air-capture companies as financing pressure pushes carbon removal from scattered R&amp;D toward consolidation and scale-up.</w:t>
      </w:r>
      <w:r>
        <w:rPr>
          <w:color w:val="0969DA"/>
          <w:sz w:val="16"/>
        </w:rPr>
        <w:t xml:space="preserve">  (https://www.bloomberg.com/news/articles/2026-07-14/london-startup-acquires-dutch-competitor-in-carbon-capture-deal)</w:t>
      </w:r>
    </w:p>
    <w:p>
      <w:pPr>
        <w:spacing w:after="40"/>
      </w:pPr>
      <w:r>
        <w:rPr>
          <w:b/>
          <w:color w:val="57606A"/>
          <w:sz w:val="18"/>
        </w:rPr>
        <w:t xml:space="preserve">[BROAD_SCAN]  </w:t>
      </w:r>
    </w:p>
    <w:p>
      <w:pPr>
        <w:spacing w:after="80"/>
        <w:ind w:left="360"/>
      </w:pPr>
      <w:r>
        <w:rPr>
          <w:b/>
        </w:rPr>
        <w:t>2D topological crystalline insulator realized; room-temp projected</w:t>
      </w:r>
      <w:r>
        <w:t xml:space="preserve"> — </w:t>
      </w:r>
      <w:r>
        <w:t>Physicists at Jyvaskyla and Aalto fabricated the first real 2D topological crystalline insulator predicted over a decade ago — a two-layer tin-telluride film on niobium diselenide whose band gap implies its conducting edge states should remain stable at room temperature (the STM measurements were made at low temperature).</w:t>
      </w:r>
      <w:r>
        <w:rPr>
          <w:color w:val="0969DA"/>
          <w:sz w:val="16"/>
        </w:rPr>
        <w:t xml:space="preserve">  (https://www.sciencedaily.com/releases/2026/07/260711010123.htm)</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Derek Lowe: sickle-cell gene therapy uptake far below targets</w:t>
      </w:r>
      <w:r>
        <w:t xml:space="preserve"> — </w:t>
      </w:r>
      <w:r>
        <w:t>In the Pipeline's Derek Lowe reports Bluebird Bio treated only ~100 sickle-cell patients last year despite three approved gene therapies (now claiming a path to 1,000/year by 2030) while Vertex's Casgevy treated just 64 — manufacturing, patient-finding and hospital capacity, not science, are the bottleneck.</w:t>
      </w:r>
      <w:r>
        <w:rPr>
          <w:color w:val="0969DA"/>
          <w:sz w:val="16"/>
        </w:rPr>
        <w:t xml:space="preserve">  (https://www.science.org/content/blog-post/battle-sickle-cell)</w:t>
      </w:r>
    </w:p>
    <w:p>
      <w:pPr>
        <w:spacing w:after="40"/>
      </w:pPr>
      <w:r>
        <w:rPr>
          <w:b/>
          <w:color w:val="0E6E6F"/>
          <w:sz w:val="18"/>
        </w:rPr>
        <w:t xml:space="preserve">[New watch pick]  </w:t>
      </w:r>
      <w:r>
        <w:rPr>
          <w:i/>
          <w:color w:val="57606A"/>
          <w:sz w:val="18"/>
        </w:rPr>
        <w:t xml:space="preserve">#01 Transformers / LLMs / coding agents  </w:t>
      </w:r>
    </w:p>
    <w:p>
      <w:pPr>
        <w:spacing w:after="80"/>
        <w:ind w:left="360"/>
      </w:pPr>
      <w:r>
        <w:rPr>
          <w:b/>
        </w:rPr>
        <w:t>Moonshot AI — frontier open-weight LLM lab behind Kimi K3</w:t>
      </w:r>
      <w:r>
        <w:t xml:space="preserve"> — </w:t>
      </w:r>
      <w:r>
        <w:t>Beijing-based Moonshot AI (Alibaba/Tencent-backed) has become a leading open-weight frontier lab; its Kimi K3 (2.8T MoE) is among the largest open models released. Added via entity reconciliation to track the lab itself, not just the model.</w:t>
      </w:r>
      <w:r>
        <w:rPr>
          <w:color w:val="0969DA"/>
          <w:sz w:val="16"/>
        </w:rPr>
        <w:t xml:space="preserve">  (https://www.cnbc.com/2026/07/17/moonshot-ai-kimi-k3-model-openai-anthropic-china.html)</w:t>
      </w:r>
    </w:p>
    <w:p>
      <w:pPr>
        <w:spacing w:after="40"/>
      </w:pPr>
      <w:r>
        <w:rPr>
          <w:b/>
          <w:color w:val="0E6E6F"/>
          <w:sz w:val="18"/>
        </w:rPr>
        <w:t xml:space="preserve">[New watch pick]  </w:t>
      </w:r>
      <w:r>
        <w:rPr>
          <w:i/>
          <w:color w:val="57606A"/>
          <w:sz w:val="18"/>
        </w:rPr>
        <w:t xml:space="preserve">#01 Transformers / LLMs / coding agents  </w:t>
      </w:r>
    </w:p>
    <w:p>
      <w:pPr>
        <w:spacing w:after="80"/>
        <w:ind w:left="360"/>
      </w:pPr>
      <w:r>
        <w:rPr>
          <w:b/>
        </w:rPr>
        <w:t>Thinking Machines Lab — Murati's lab shipping open weights + Tinker</w:t>
      </w:r>
      <w:r>
        <w:t xml:space="preserve"> — </w:t>
      </w:r>
      <w:r>
        <w:t>Founded by ex-OpenAI CTO Mira Murati, Thinking Machines Lab released its first open-weight model, Inkling (975B), and the Tinker fine-tuning platform in July 2026. Added via entity reconciliation as an under-tracked frontier player.</w:t>
      </w:r>
      <w:r>
        <w:rPr>
          <w:color w:val="0969DA"/>
          <w:sz w:val="16"/>
        </w:rPr>
        <w:t xml:space="preserve">  (https://thinkingmachines.ai/news/introducing-inkling/)</w:t>
      </w:r>
    </w:p>
    <w:p>
      <w:pPr>
        <w:spacing w:after="40"/>
      </w:pPr>
      <w:r>
        <w:rPr>
          <w:b/>
          <w:color w:val="0E6E6F"/>
          <w:sz w:val="18"/>
        </w:rPr>
        <w:t xml:space="preserve">[New watch pick]  </w:t>
      </w:r>
      <w:r>
        <w:rPr>
          <w:i/>
          <w:color w:val="57606A"/>
          <w:sz w:val="18"/>
        </w:rPr>
        <w:t xml:space="preserve">#10 Renewables + battery cost collapse  </w:t>
      </w:r>
    </w:p>
    <w:p>
      <w:pPr>
        <w:spacing w:after="80"/>
        <w:ind w:left="360"/>
      </w:pPr>
      <w:r>
        <w:rPr>
          <w:b/>
        </w:rPr>
        <w:t>Eos Energy Enterprises — US zinc long-duration battery maker (LDES)</w:t>
      </w:r>
      <w:r>
        <w:t xml:space="preserve"> — </w:t>
      </w:r>
      <w:r>
        <w:t>Nasdaq-listed Pittsburgh maker of non-flammable aqueous-zinc (Znyth) long-duration storage; its Golden Dome prototype contract makes it a domestic non-lithium LDES player. Added via entity reconciliation to fill the LDES-market gap with a tracked company.</w:t>
      </w:r>
      <w:r>
        <w:rPr>
          <w:color w:val="0969DA"/>
          <w:sz w:val="16"/>
        </w:rPr>
        <w:t xml:space="preserve">  (https://www.globenewswire.com/news-release/2026/07/15/3328154/0/en/Eos-Energy-Enterprises-Selected-to-Deliver-Mission-Ready-Power-for-Golden-Dome-for-America.html)</w:t>
      </w:r>
    </w:p>
    <w:p>
      <w:pPr>
        <w:spacing w:after="40"/>
      </w:pPr>
      <w:r>
        <w:rPr>
          <w:b/>
          <w:color w:val="0E6E6F"/>
          <w:sz w:val="18"/>
        </w:rPr>
        <w:t xml:space="preserve">[New watch pick]  </w:t>
      </w:r>
      <w:r>
        <w:rPr>
          <w:i/>
          <w:color w:val="57606A"/>
          <w:sz w:val="18"/>
        </w:rPr>
        <w:t xml:space="preserve">#09 Reusable rockets (Falcon 9 + Starship catch)  </w:t>
      </w:r>
    </w:p>
    <w:p>
      <w:pPr>
        <w:spacing w:after="80"/>
        <w:ind w:left="360"/>
      </w:pPr>
      <w:r>
        <w:rPr>
          <w:b/>
        </w:rPr>
        <w:t>Eta Space — cryogenic propellant-depot startup behind LOXSAT</w:t>
      </w:r>
      <w:r>
        <w:t xml:space="preserve"> — </w:t>
      </w:r>
      <w:r>
        <w:t>Florida startup building cryogenic fluid-management technology; its NASA Tipping Point-funded LOXSAT demo (launched on Rocket Lab) runs 11 liquid-oxygen transfer tests to inform a planned 2030 Cryo-Dock orbital propellant depot. Added via entity reconciliation to track the orbital-refueling gap.</w:t>
      </w:r>
      <w:r>
        <w:rPr>
          <w:color w:val="0969DA"/>
          <w:sz w:val="16"/>
        </w:rPr>
        <w:t xml:space="preserve">  (https://rocketlabcorp.com/missions/launches/loxsat/)</w:t>
      </w:r>
    </w:p>
    <w:p>
      <w:r>
        <w:br w:type="page"/>
      </w:r>
    </w:p>
    <w:p>
      <w:pPr>
        <w:pStyle w:val="Heading1"/>
      </w:pPr>
      <w:r>
        <w:t>Weekly history</w:t>
      </w:r>
    </w:p>
    <w:p>
      <w:r>
        <w:rPr>
          <w:i/>
        </w:rPr>
        <w:t>All 22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2026-07-17.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