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2026-08-21 · 16 breakthroughs · 26 weekly entries</w:t>
      </w:r>
    </w:p>
    <w:p/>
    <w:p>
      <w:pPr>
        <w:pStyle w:val="Heading1"/>
      </w:pPr>
      <w:r>
        <w:t>Latest run · week ending 2026-08-21</w:t>
      </w:r>
    </w:p>
    <w:p>
      <w:r>
        <w:rPr>
          <w:b/>
        </w:rPr>
        <w:t xml:space="preserve">Kind: </w:t>
      </w:r>
      <w:r>
        <w:t>WEEKLY_UPDATE</w:t>
      </w:r>
      <w:r>
        <w:t xml:space="preserve"> · </w:t>
      </w:r>
      <w:r>
        <w:rPr>
          <w:i/>
        </w:rPr>
        <w:t>Generated 2026-08-21T12:44:04</w:t>
      </w:r>
    </w:p>
    <w:p>
      <w:r>
        <w:rPr>
          <w:sz w:val="22"/>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p>
      <w:pPr>
        <w:spacing w:after="40"/>
      </w:pPr>
      <w:r>
        <w:rPr>
          <w:b/>
        </w:rPr>
        <w:t xml:space="preserve">  • New breakthroughs: </w:t>
      </w:r>
      <w:r>
        <w:t>0</w:t>
      </w:r>
    </w:p>
    <w:p>
      <w:pPr>
        <w:spacing w:after="40"/>
      </w:pPr>
      <w:r>
        <w:rPr>
          <w:b/>
        </w:rPr>
        <w:t xml:space="preserve">  • New sub-ideas: </w:t>
      </w:r>
      <w:r>
        <w:t>8</w:t>
      </w:r>
    </w:p>
    <w:p>
      <w:pPr>
        <w:spacing w:after="40"/>
      </w:pPr>
      <w:r>
        <w:rPr>
          <w:b/>
        </w:rPr>
        <w:t xml:space="preserve">  • New frontier results: </w:t>
      </w:r>
      <w:r>
        <w:t>4</w:t>
      </w:r>
    </w:p>
    <w:p>
      <w:pPr>
        <w:spacing w:after="40"/>
      </w:pPr>
      <w:r>
        <w:rPr>
          <w:b/>
        </w:rPr>
        <w:t xml:space="preserve">  • New watch picks: </w:t>
      </w:r>
      <w:r>
        <w:t>4</w:t>
      </w:r>
    </w:p>
    <w:p>
      <w:pPr>
        <w:spacing w:after="40"/>
      </w:pPr>
      <w:r>
        <w:rPr>
          <w:b/>
        </w:rPr>
        <w:t xml:space="preserve">  • New people: </w:t>
      </w:r>
      <w:r>
        <w:t>0</w:t>
      </w:r>
    </w:p>
    <w:p>
      <w:pPr>
        <w:spacing w:after="40"/>
      </w:pPr>
      <w:r>
        <w:rPr>
          <w:b/>
        </w:rPr>
        <w:t xml:space="preserve">  • Updated facts: </w:t>
      </w:r>
      <w:r>
        <w:t>8</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Z.ai ships GLM-5.3 with a post-training-only coding leap</w:t>
      </w:r>
      <w:r>
        <w:t xml:space="preserve"> — </w:t>
      </w:r>
      <w:r>
        <w:t>Z.ai released GLM-5.3 on Aug 14, 2026, reusing the GLM-5.2 base model so that all capability gain came from scaled post-training; Terminal-Bench 3.0 moved from 4.6% to 28.3%.</w:t>
      </w:r>
      <w:r>
        <w:rPr>
          <w:color w:val="0969DA"/>
          <w:sz w:val="16"/>
        </w:rPr>
        <w:t xml:space="preserve">  (https://www.marktechpost.com/2026/08/14/z-ai-ships-glm-5-3-without-retraining-the-base-model-better-at-complex-coding-and-long-horizon-tasks/)</w:t>
      </w:r>
      <w:r>
        <w:rPr>
          <w:color w:val="0969DA"/>
          <w:sz w:val="16"/>
        </w:rPr>
        <w:t xml:space="preserve">  (https://x.com/Zai_org/status/2088132965922476159)</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DeepSeek open-sources an 'everything is a plugin' agent harness</w:t>
      </w:r>
      <w:r>
        <w:t xml:space="preserve"> — </w:t>
      </w:r>
      <w:r>
        <w:t>DeepSeek Harness v0.1 entered developer preview Aug 13, 2026 under MIT license with the tagline 'Everything is a Plugin' — models, tools, sandboxes, sessions and UI are all swappable across Standard/Code/Minimal/Creator execution modes.</w:t>
      </w:r>
      <w:r>
        <w:rPr>
          <w:color w:val="0969DA"/>
          <w:sz w:val="16"/>
        </w:rPr>
        <w:t xml:space="preserve">  (https://github.com/deepseek-ai/deepseek-harness)</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Prime Intellect open-sources a self-rewriting Recursive Language Model agent</w:t>
      </w:r>
      <w:r>
        <w:t xml:space="preserve"> — </w:t>
      </w:r>
      <w:r>
        <w:t>Prime Intellect published Prime Agent under MIT license in early August 2026, a Recursive Language Model harness whose single tool is a persistent IPython kernel, letting the model rewrite its own prompts, skills, memory and sub-agents at runtime.</w:t>
      </w:r>
      <w:r>
        <w:rPr>
          <w:color w:val="0969DA"/>
          <w:sz w:val="16"/>
        </w:rPr>
        <w:t xml:space="preserve">  (https://github.com/PrimeIntellect-ai/prime-agent)</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Prime Intellect — decentralized training and open agent harnesses</w:t>
      </w:r>
      <w:r>
        <w:t xml:space="preserve"> — </w:t>
      </w:r>
      <w:r>
        <w:t>Prime Intellect ships MIT-licensed agent infrastructure (Prime Agent, a Recursive Language Model harness) alongside its decentralized-training work, making it a salient open-source counterweight to closed agent platforms.</w:t>
      </w:r>
      <w:r>
        <w:rPr>
          <w:color w:val="0969DA"/>
          <w:sz w:val="16"/>
        </w:rPr>
        <w:t xml:space="preserve">  (https://github.com/PrimeIntellect-ai/prime-agent)</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CPUC clears Waymo driverless rides across 18 California counties</w:t>
      </w:r>
      <w:r>
        <w:t xml:space="preserve"> — </w:t>
      </w:r>
      <w:r>
        <w:t>On Aug 14, 2026 the California PUC approved Waymo to charge for fully driverless rides across 18 counties, adding Sacramento and San Diego to Bay Area and Los Angeles service.</w:t>
      </w:r>
      <w:r>
        <w:rPr>
          <w:color w:val="0969DA"/>
          <w:sz w:val="16"/>
        </w:rPr>
        <w:t xml:space="preserve">  (https://electrek.co/2026/08/14/waymo-cpuc-approval-california-expansion-18-counties/)</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ACL 2026 paper rethinks entropy interventions in RLVR</w:t>
      </w:r>
      <w:r>
        <w:t xml:space="preserve"> — </w:t>
      </w:r>
      <w:r>
        <w:t>'Rethinking Entropy Interventions in RLVR: An Entropy Change Perspective' (Zhezheng Hao et al., ACL 2026 long paper) shows existing fixes for policy-entropy collapse act only indirectly, and proposes token-level reweighting that controls entropy dynamics directly.</w:t>
      </w:r>
      <w:r>
        <w:rPr>
          <w:color w:val="0969DA"/>
          <w:sz w:val="16"/>
        </w:rPr>
        <w:t xml:space="preserve">  (https://arxiv.org/abs/2510.10150)</w:t>
      </w:r>
      <w:r>
        <w:rPr>
          <w:color w:val="0969DA"/>
          <w:sz w:val="16"/>
        </w:rPr>
        <w:t xml:space="preserve">  (https://aclanthology.org/2026.acl-long.1436/)</w:t>
      </w:r>
    </w:p>
    <w:p>
      <w:pPr>
        <w:spacing w:after="40"/>
      </w:pPr>
      <w:r>
        <w:rPr>
          <w:b/>
          <w:color w:val="6639BA"/>
          <w:sz w:val="18"/>
        </w:rPr>
        <w:t xml:space="preserve">[New sub-idea]  </w:t>
      </w:r>
      <w:r>
        <w:rPr>
          <w:i/>
          <w:color w:val="57606A"/>
          <w:sz w:val="18"/>
        </w:rPr>
        <w:t xml:space="preserve">#03 Diffusion models (image + video generation)  </w:t>
      </w:r>
    </w:p>
    <w:p>
      <w:pPr>
        <w:spacing w:after="80"/>
        <w:ind w:left="360"/>
      </w:pPr>
      <w:r>
        <w:rPr>
          <w:b/>
        </w:rPr>
        <w:t>ICML 2026 Outstanding Paper: 'The Flexibility Trap' in diffusion LMs</w:t>
      </w:r>
      <w:r>
        <w:t xml:space="preserve"> — </w:t>
      </w:r>
      <w:r>
        <w:t>Zanlin Ni, Shenzhi Wang, Yang Yue, Tianyu Yu et al. won one of two ICML 2026 Outstanding Paper awards for showing that arbitrary generation order lets diffusion language models skip the high-uncertainty tokens exploration requires, collapsing solution coverage.</w:t>
      </w:r>
      <w:r>
        <w:rPr>
          <w:color w:val="0969DA"/>
          <w:sz w:val="16"/>
        </w:rPr>
        <w:t xml:space="preserve">  (https://blog.icml.cc/2026/07/05/announcing-the-icml-2026-awards/)</w:t>
      </w:r>
    </w:p>
    <w:p>
      <w:pPr>
        <w:spacing w:after="40"/>
      </w:pPr>
      <w:r>
        <w:rPr>
          <w:b/>
          <w:color w:val="9A6700"/>
          <w:sz w:val="18"/>
        </w:rPr>
        <w:t xml:space="preserve">[Updated fact]  </w:t>
      </w:r>
      <w:r>
        <w:rPr>
          <w:i/>
          <w:color w:val="57606A"/>
          <w:sz w:val="18"/>
        </w:rPr>
        <w:t xml:space="preserve">#05 mRNA vaccines + LNP delivery  </w:t>
      </w:r>
    </w:p>
    <w:p>
      <w:pPr>
        <w:spacing w:after="80"/>
        <w:ind w:left="360"/>
      </w:pPr>
      <w:r>
        <w:rPr>
          <w:b/>
        </w:rPr>
        <w:t>Merck/Moderna mRNA cancer vaccine hits first positive Phase 3 in melanoma</w:t>
      </w:r>
      <w:r>
        <w:t xml:space="preserve"> — </w:t>
      </w:r>
      <w:r>
        <w:t>Intismeran autogene (V940/mRNA-4157) plus Keytruda met its primary recurrence-free-survival endpoint and key secondary distant-metastasis-free-survival endpoint in Phase 3 INTerpath-001 in resected stage IIB-IV melanoma — the first positive Phase 3 for an individualized neoantigen therapy.</w:t>
      </w:r>
      <w:r>
        <w:rPr>
          <w:color w:val="0969DA"/>
          <w:sz w:val="16"/>
        </w:rPr>
        <w:t xml:space="preserve">  (https://www.merck.com/news/merck-and-moderna-announce-phase-3-interpath-001-trial-of-intismeran-autogene-plus-keytruda-met-endpoints-of-recurrence-free-survival-rfs-and-distant-metastasis-free-survival-dmfs-in-patient/)</w:t>
      </w:r>
    </w:p>
    <w:p>
      <w:pPr>
        <w:spacing w:after="40"/>
      </w:pPr>
      <w:r>
        <w:rPr>
          <w:b/>
          <w:color w:val="9A6700"/>
          <w:sz w:val="18"/>
        </w:rPr>
        <w:t xml:space="preserve">[Updated fact]  </w:t>
      </w:r>
      <w:r>
        <w:rPr>
          <w:i/>
          <w:color w:val="57606A"/>
          <w:sz w:val="18"/>
        </w:rPr>
        <w:t xml:space="preserve">#06 GLP-1 agonists  </w:t>
      </w:r>
    </w:p>
    <w:p>
      <w:pPr>
        <w:spacing w:after="80"/>
        <w:ind w:left="360"/>
      </w:pPr>
      <w:r>
        <w:rPr>
          <w:b/>
        </w:rPr>
        <w:t>Oral Wegovy outsells orforglipron 5-to-1 in the first head-to-head quarter</w:t>
      </w:r>
      <w:r>
        <w:t xml:space="preserve"> — </w:t>
      </w:r>
      <w:r>
        <w:t>In Q2 2026 oral semaglutide generated roughly DKK 3.22bn (~$496M) against Foundayo (orforglipron) at exactly $98M per Lilly's own results, with the efficacy gap at 72 weeks cited as the driver.</w:t>
      </w:r>
      <w:r>
        <w:rPr>
          <w:color w:val="0969DA"/>
          <w:sz w:val="16"/>
        </w:rPr>
        <w:t xml:space="preserve">  (https://investor.lilly.com/news-releases/news-release-details/lilly-reports-second-quarter-2026-financial-results-raises-full)</w:t>
      </w:r>
      <w:r>
        <w:rPr>
          <w:color w:val="0969DA"/>
          <w:sz w:val="16"/>
        </w:rPr>
        <w:t xml:space="preserve">  (https://www.biospace.com/business/novo-takes-first-round-of-oral-obesity-duel-can-it-stay-ahead-of-lilly)</w:t>
      </w:r>
    </w:p>
    <w:p>
      <w:pPr>
        <w:spacing w:after="40"/>
      </w:pPr>
      <w:r>
        <w:rPr>
          <w:b/>
          <w:color w:val="6639BA"/>
          <w:sz w:val="18"/>
        </w:rPr>
        <w:t xml:space="preserve">[New sub-idea]  </w:t>
      </w:r>
      <w:r>
        <w:rPr>
          <w:i/>
          <w:color w:val="57606A"/>
          <w:sz w:val="18"/>
        </w:rPr>
        <w:t xml:space="preserve">#06 GLP-1 agonists  </w:t>
      </w:r>
    </w:p>
    <w:p>
      <w:pPr>
        <w:spacing w:after="80"/>
        <w:ind w:left="360"/>
      </w:pPr>
      <w:r>
        <w:rPr>
          <w:b/>
        </w:rPr>
        <w:t>Aleniglipron posts ~11.3% placebo-adjusted weight loss in Phase 2b</w:t>
      </w:r>
      <w:r>
        <w:t xml:space="preserve"> — </w:t>
      </w:r>
      <w:r>
        <w:t>Structure Therapeutics' once-daily small-molecule GLP-1 aleniglipron reported roughly -11.3% placebo-adjusted body weight at 36 weeks on the 120mg dose in the 230-patient ACCESS Phase 2b (Nature Medicine), with no drug-induced liver injury.</w:t>
      </w:r>
      <w:r>
        <w:rPr>
          <w:color w:val="0969DA"/>
          <w:sz w:val="16"/>
        </w:rPr>
        <w:t xml:space="preserve">  (https://doi.org/10.1038/s41591-026-04476-6)</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CRISPR Therapeutics starts Phase 1 for CTX460 on its new SyNTase platform</w:t>
      </w:r>
      <w:r>
        <w:t xml:space="preserve"> — </w:t>
      </w:r>
      <w:r>
        <w:t>CRISPR Therapeutics initiated a Phase 1 trial of CTX460, an in vivo SERPINA1 editor for alpha-1 antitrypsin deficiency and the first clinical candidate from its proprietary SyNTase editing platform, distinct from CRISPR/Cas9.</w:t>
      </w:r>
      <w:r>
        <w:rPr>
          <w:color w:val="0969DA"/>
          <w:sz w:val="16"/>
        </w:rPr>
        <w:t xml:space="preserve">  (https://www.globenewswire.com/news-release/2026/08/03/3337896/0/en/crispr-therapeutics-provides-business-update-and-reports-second-quarter-2026-financial-results.html)</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Casgevy revenue up 151% year-over-year after pediatric expansion</w:t>
      </w:r>
      <w:r>
        <w:t xml:space="preserve"> — </w:t>
      </w:r>
      <w:r>
        <w:t>Casgevy generated $76M in Q2 2026 revenue, up 151% year-over-year and 78% quarter-over-quarter, following FDA expansion of eligibility to children as young as 2.</w:t>
      </w:r>
      <w:r>
        <w:rPr>
          <w:color w:val="0969DA"/>
          <w:sz w:val="16"/>
        </w:rPr>
        <w:t xml:space="preserve">  (https://www.globenewswire.com/news-release/2026/08/03/3337896/0/en/crispr-therapeutics-provides-business-update-and-reports-second-quarter-2026-financial-results.html)</w:t>
      </w:r>
    </w:p>
    <w:p>
      <w:pPr>
        <w:spacing w:after="40"/>
      </w:pPr>
      <w:r>
        <w:rPr>
          <w:b/>
          <w:color w:val="9A6700"/>
          <w:sz w:val="18"/>
        </w:rPr>
        <w:t xml:space="preserve">[Updated fact]  </w:t>
      </w:r>
      <w:r>
        <w:rPr>
          <w:i/>
          <w:color w:val="57606A"/>
          <w:sz w:val="18"/>
        </w:rPr>
        <w:t xml:space="preserve">#08 Quantum error correction (logical qubits below threshold)  </w:t>
      </w:r>
    </w:p>
    <w:p>
      <w:pPr>
        <w:spacing w:after="80"/>
        <w:ind w:left="360"/>
      </w:pPr>
      <w:r>
        <w:rPr>
          <w:b/>
        </w:rPr>
        <w:t>Cornell cuts tantalum qubit deposition to 200C with krypton sputtering</w:t>
      </w:r>
      <w:r>
        <w:t xml:space="preserve"> — </w:t>
      </w:r>
      <w:r>
        <w:t>Cornell lowered the deposition temperature for high-coherence tantalum superconducting qubit films from over 400C to 200C using krypton magnetron sputtering, keeping the process compatible with commercial CMOS fabs (Nature Materials, Aug 2026).</w:t>
      </w:r>
      <w:r>
        <w:rPr>
          <w:color w:val="0969DA"/>
          <w:sz w:val="16"/>
        </w:rPr>
        <w:t xml:space="preserve">  (https://news.cornell.edu/stories/2026/08/new-ingredient-quantum-computing-krypton-gas)</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Mitsui and Mitsubishi Electric run a logical QFT on Quantinuum Helios</w:t>
      </w:r>
      <w:r>
        <w:t xml:space="preserve"> — </w:t>
      </w:r>
      <w:r>
        <w:t>Mitsui &amp; Co. and Mitsubishi Electric benchmarked approximate quantum Fourier transform on up to 98 physical qubits and a Steane-code logical QFT on 12 logical qubits on Quantinuum's Helios trapped-ion system (published Aug 14, 2026).</w:t>
      </w:r>
      <w:r>
        <w:rPr>
          <w:color w:val="0969DA"/>
          <w:sz w:val="16"/>
        </w:rPr>
        <w:t xml:space="preserve">  (https://quantumcomputingreport.com/mitsui-co-and-mitsubishi-electric-benchmark-approximate-and-logical-qft-on-quantinuum-helios/)</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SpaceX launches two Falcon 9 missions 38 minutes apart</w:t>
      </w:r>
      <w:r>
        <w:t xml:space="preserve"> — </w:t>
      </w:r>
      <w:r>
        <w:t>On Aug 15, 2026 SpaceX launched Falcon 9 from Florida and California 38 minutes apart, beating its prior 65-minute dual-coast record; both boosters landed, on their 14th and 18th flights.</w:t>
      </w:r>
      <w:r>
        <w:rPr>
          <w:color w:val="0969DA"/>
          <w:sz w:val="16"/>
        </w:rPr>
        <w:t xml:space="preserve">  (https://www.space.com/space-exploration/launches-spacecraft/spacex-breaks-record-launch-doubleheader-ussf-366-globalstar-2r)</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Form Energy raises $750M Series G; iron-air backlog reaches 80 GWh</w:t>
      </w:r>
      <w:r>
        <w:t xml:space="preserve"> — </w:t>
      </w:r>
      <w:r>
        <w:t>Form Energy closed a $750M Series G led by T. Rowe Price on Aug 12, 2026 to scale its Weirton, WV iron-air factory, with backlog growing from about 20 GWh to 80 GWh across Google, Xcel, Crusoe and FuturEnergy Ireland.</w:t>
      </w:r>
      <w:r>
        <w:rPr>
          <w:color w:val="0969DA"/>
          <w:sz w:val="16"/>
        </w:rPr>
        <w:t xml:space="preserve">  (https://formenergy.com/form-energy-secures-750m-in-series-g-financing/)</w:t>
      </w:r>
    </w:p>
    <w:p>
      <w:pPr>
        <w:spacing w:after="40"/>
      </w:pPr>
      <w:r>
        <w:rPr>
          <w:b/>
          <w:color w:val="9A6700"/>
          <w:sz w:val="18"/>
        </w:rPr>
        <w:t xml:space="preserve">[Updated fact]  </w:t>
      </w:r>
      <w:r>
        <w:rPr>
          <w:i/>
          <w:color w:val="57606A"/>
          <w:sz w:val="18"/>
        </w:rPr>
        <w:t xml:space="preserve">#15 AI accelerators / advanced compute  </w:t>
      </w:r>
    </w:p>
    <w:p>
      <w:pPr>
        <w:spacing w:after="80"/>
        <w:ind w:left="360"/>
      </w:pPr>
      <w:r>
        <w:rPr>
          <w:b/>
        </w:rPr>
        <w:t>Etched raises $700M at $21B valuation, ships first rack to Jane Street</w:t>
      </w:r>
      <w:r>
        <w:t xml:space="preserve"> — </w:t>
      </w:r>
      <w:r>
        <w:t>Etched announced on Aug 18, 2026 a $700M round led by Jane Street at a $21B valuation, roughly double its July mark, and delivered its first production inference rack to Jane Street with over $1B in signed contracts.</w:t>
      </w:r>
      <w:r>
        <w:rPr>
          <w:color w:val="0969DA"/>
          <w:sz w:val="16"/>
        </w:rPr>
        <w:t xml:space="preserve">  (https://www.globenewswire.com/news-release/2026/08/18/3347095/0/en/etched-raises-700m-at-a-21b-valuation-and-completes-first-customer-delivery-to-jane-street.html)</w:t>
      </w:r>
    </w:p>
    <w:p>
      <w:pPr>
        <w:spacing w:after="40"/>
      </w:pPr>
      <w:r>
        <w:rPr>
          <w:b/>
          <w:color w:val="0E6E6F"/>
          <w:sz w:val="18"/>
        </w:rPr>
        <w:t xml:space="preserve">[New watch pick]  </w:t>
      </w:r>
      <w:r>
        <w:rPr>
          <w:i/>
          <w:color w:val="57606A"/>
          <w:sz w:val="18"/>
        </w:rPr>
        <w:t xml:space="preserve">#13 Fusion energy  </w:t>
      </w:r>
    </w:p>
    <w:p>
      <w:pPr>
        <w:spacing w:after="80"/>
        <w:ind w:left="360"/>
      </w:pPr>
      <w:r>
        <w:rPr>
          <w:b/>
        </w:rPr>
        <w:t>General Fusion becomes the first publicly listed fusion company</w:t>
      </w:r>
      <w:r>
        <w:t xml:space="preserve"> — </w:t>
      </w:r>
      <w:r>
        <w:t>General Fusion (Nasdaq: GFUZ) gave its first public-company update Aug 18, 2026, reporting ~$150M cash, plasma heating to 0.72 keV via lithium-liner compression on LM26, and a commercialization framework with Renexia.</w:t>
      </w:r>
      <w:r>
        <w:rPr>
          <w:color w:val="0969DA"/>
          <w:sz w:val="16"/>
        </w:rPr>
        <w:t xml:space="preserve">  (https://www.globenewswire.com/news-release/2026/08/18/3347219/0/en/general-fusion-provides-first-public-company-business-update.html)</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Terence Tao's 'Mathematics in the Age of AI' reframes AI-for-math goals</w:t>
      </w:r>
      <w:r>
        <w:t xml:space="preserve"> — </w:t>
      </w:r>
      <w:r>
        <w:t>Tao's ICM 2026 lecture essay (arXiv, submitted Aug 17, 2026) argues mathematicians must first define their actual goals — proof, verification, exposition, canonicalization — before ceding ground to AI research tools; it front-paged Hacker News within days.</w:t>
      </w:r>
      <w:r>
        <w:rPr>
          <w:color w:val="0969DA"/>
          <w:sz w:val="16"/>
        </w:rPr>
        <w:t xml:space="preserve">  (https://arxiv.org/abs/2608.16753)</w:t>
      </w:r>
    </w:p>
    <w:p>
      <w:pPr>
        <w:spacing w:after="40"/>
      </w:pPr>
      <w:r>
        <w:rPr>
          <w:b/>
          <w:color w:val="0969DA"/>
          <w:sz w:val="18"/>
        </w:rPr>
        <w:t xml:space="preserve">[New frontier result]  </w:t>
      </w:r>
      <w:r>
        <w:rPr>
          <w:i/>
          <w:color w:val="57606A"/>
          <w:sz w:val="18"/>
        </w:rPr>
        <w:t xml:space="preserve">#11 Self-driving cars / robotaxis  </w:t>
      </w:r>
    </w:p>
    <w:p>
      <w:pPr>
        <w:spacing w:after="80"/>
        <w:ind w:left="360"/>
      </w:pPr>
      <w:r>
        <w:rPr>
          <w:b/>
        </w:rPr>
        <w:t>DA-WAM aligns driving world-model latents with decision scoring</w:t>
      </w:r>
      <w:r>
        <w:t xml:space="preserve"> — </w:t>
      </w:r>
      <w:r>
        <w:t>An Aug 19, 2026 arXiv paper from HKUST-GZ and Leapmotor authors co-trains future-latent prediction with per-trajectory scoring, reporting PDMS 93.7 on NAVSIM-v1 and EPDMS 87.7 on NAVSIM-v2 (benchmark numbers not independently re-verified).</w:t>
      </w:r>
      <w:r>
        <w:rPr>
          <w:color w:val="0969DA"/>
          <w:sz w:val="16"/>
        </w:rPr>
        <w:t xml:space="preserve">  (https://arxiv.org/abs/2608.19085)</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Native GPU offload lands in the Rust compiler at CUDA-level performance</w:t>
      </w:r>
      <w:r>
        <w:t xml:space="preserve"> — </w:t>
      </w:r>
      <w:r>
        <w:t>Drehwald, Doerfert et al. (arXiv, Aug 13, 2026) build a cross-vendor GPU-offload interface directly into rustc via LLVM Offload, reporting parity with hand-optimized CUDA/HIP while keeping Rust's memory-safety guarantees; the paper drew ~131 points on Hacker News on Aug 17.</w:t>
      </w:r>
      <w:r>
        <w:rPr>
          <w:color w:val="0969DA"/>
          <w:sz w:val="16"/>
        </w:rPr>
        <w:t xml:space="preserve">  (https://arxiv.org/abs/2608.13759)</w:t>
      </w:r>
      <w:r>
        <w:rPr>
          <w:color w:val="0969DA"/>
          <w:sz w:val="16"/>
        </w:rPr>
        <w:t xml:space="preserve">  (https://news.ycombinator.com/item?id=49334991)</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Disputed Copilot-autofix chain in Snowflake Jira compromise</w:t>
      </w:r>
      <w:r>
        <w:t xml:space="preserve"> — </w:t>
      </w:r>
      <w:r>
        <w:t>Wiz Research reported on Aug 17, 2026 that a GitHub Copilot Autofix suggestion enabled a compromise of Snowflake's internal Jira via CI/CD; GitHub disputes that Copilot wrote the vulnerable code and Wiz later softened the claim to 'unclear whether the code change was AI-assisted'.</w:t>
      </w:r>
      <w:r>
        <w:rPr>
          <w:color w:val="0969DA"/>
          <w:sz w:val="16"/>
        </w:rPr>
        <w:t xml:space="preserve">  (https://www.wiz.io/blog/red-agent-snowflake-copilot-cicd-bug)</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Wiz Research — agentic-coding supply-chain security</w:t>
      </w:r>
      <w:r>
        <w:t xml:space="preserve"> — </w:t>
      </w:r>
      <w:r>
        <w:t>Wiz's research arm is producing the first concrete incident write-ups on AI coding-agent supply-chain risk, including the disputed Copilot Autofix / Snowflake Jira chain.</w:t>
      </w:r>
      <w:r>
        <w:rPr>
          <w:color w:val="0969DA"/>
          <w:sz w:val="16"/>
        </w:rPr>
        <w:t xml:space="preserve">  (https://www.wiz.io/blog/red-agent-snowflake-copilot-cicd-bug)</w:t>
      </w:r>
    </w:p>
    <w:p>
      <w:pPr>
        <w:spacing w:after="40"/>
      </w:pPr>
      <w:r>
        <w:rPr>
          <w:b/>
          <w:color w:val="0E6E6F"/>
          <w:sz w:val="18"/>
        </w:rPr>
        <w:t xml:space="preserve">[New watch pick]  </w:t>
      </w:r>
      <w:r>
        <w:rPr>
          <w:i/>
          <w:color w:val="57606A"/>
          <w:sz w:val="18"/>
        </w:rPr>
        <w:t xml:space="preserve">#01 Transformers / LLMs / coding agents  </w:t>
      </w:r>
    </w:p>
    <w:p>
      <w:pPr>
        <w:spacing w:after="80"/>
        <w:ind w:left="360"/>
      </w:pPr>
      <w:r>
        <w:rPr>
          <w:b/>
        </w:rPr>
        <w:t>Redwood Research — the AI control agenda</w:t>
      </w:r>
      <w:r>
        <w:t xml:space="preserve"> — </w:t>
      </w:r>
      <w:r>
        <w:t>Redwood Research originated the 'AI control' research programme, which aims to contain and monitor misaligned agents without first solving alignment; its framing is increasingly cited in 2026 takeoff-speed debates.</w:t>
      </w:r>
      <w:r>
        <w:rPr>
          <w:color w:val="0969DA"/>
          <w:sz w:val="16"/>
        </w:rPr>
        <w:t xml:space="preserve">  (https://blog.redwoodresearch.org/p/my-picture-of-the-present-in-ai)</w:t>
      </w:r>
    </w:p>
    <w:p>
      <w:pPr>
        <w:spacing w:after="40"/>
      </w:pPr>
      <w:r>
        <w:rPr>
          <w:b/>
          <w:color w:val="57606A"/>
          <w:sz w:val="18"/>
        </w:rPr>
        <w:t xml:space="preserve">[NEW_VOICE]  </w:t>
      </w:r>
    </w:p>
    <w:p>
      <w:pPr>
        <w:spacing w:after="80"/>
        <w:ind w:left="360"/>
      </w:pPr>
      <w:r>
        <w:rPr>
          <w:b/>
        </w:rPr>
        <w:t>Ryan Greenblatt (Redwood Research) — AI control</w:t>
      </w:r>
      <w:r>
        <w:t xml:space="preserve"> — </w:t>
      </w:r>
      <w:r>
        <w:t>Chief Scientist at Redwood Research and co-originator of the AI control agenda, increasingly cited in 2026 takeoff-speed and timeline debates.</w:t>
      </w:r>
      <w:r>
        <w:rPr>
          <w:color w:val="0969DA"/>
          <w:sz w:val="16"/>
        </w:rPr>
        <w:t xml:space="preserve">  (https://blog.redwoodresearch.org/p/my-picture-of-the-present-in-ai)</w:t>
      </w:r>
    </w:p>
    <w:p>
      <w:pPr>
        <w:spacing w:after="40"/>
      </w:pPr>
      <w:r>
        <w:rPr>
          <w:b/>
          <w:color w:val="57606A"/>
          <w:sz w:val="18"/>
        </w:rPr>
        <w:t xml:space="preserve">[NEW_VOICE]  </w:t>
      </w:r>
    </w:p>
    <w:p>
      <w:pPr>
        <w:spacing w:after="80"/>
        <w:ind w:left="360"/>
      </w:pPr>
      <w:r>
        <w:rPr>
          <w:b/>
        </w:rPr>
        <w:t>Terence Tao — AI in mathematics</w:t>
      </w:r>
      <w:r>
        <w:t xml:space="preserve"> — </w:t>
      </w:r>
      <w:r>
        <w:t>Fields Medalist whose ICM 2026 essay reframed the AI-for-mathematics debate around researcher goals rather than capability hype, drawing wide reaction across both AI and mathematics communities.</w:t>
      </w:r>
      <w:r>
        <w:rPr>
          <w:color w:val="0969DA"/>
          <w:sz w:val="16"/>
        </w:rPr>
        <w:t xml:space="preserve">  (https://arxiv.org/abs/2608.16753)</w:t>
      </w:r>
    </w:p>
    <w:p>
      <w:pPr>
        <w:spacing w:after="40"/>
      </w:pPr>
      <w:r>
        <w:rPr>
          <w:b/>
          <w:color w:val="57606A"/>
          <w:sz w:val="18"/>
        </w:rPr>
        <w:t xml:space="preserve">[TRENDING_IDEA]  </w:t>
      </w:r>
    </w:p>
    <w:p>
      <w:pPr>
        <w:spacing w:after="80"/>
        <w:ind w:left="360"/>
      </w:pPr>
      <w:r>
        <w:rPr>
          <w:b/>
        </w:rPr>
        <w:t>AI governance debate pivots from misuse to concentration of power</w:t>
      </w:r>
      <w:r>
        <w:t xml:space="preserve"> — </w:t>
      </w:r>
      <w:r>
        <w:t>OpenAI's new Strategic Futures team, led by tracked voice Dean W. Ball, published its founding 'AI Futures' essay on Aug 20, 2026 arguing AI-driven force projection and automated revenue could let states or firms hold power without broad human cooperation.</w:t>
      </w:r>
      <w:r>
        <w:rPr>
          <w:color w:val="0969DA"/>
          <w:sz w:val="16"/>
        </w:rPr>
        <w:t xml:space="preserve">  (https://openai.com/index/introducing-ai-futures/)</w:t>
      </w:r>
    </w:p>
    <w:p>
      <w:pPr>
        <w:spacing w:after="40"/>
      </w:pPr>
      <w:r>
        <w:rPr>
          <w:b/>
          <w:color w:val="57606A"/>
          <w:sz w:val="18"/>
        </w:rPr>
        <w:t xml:space="preserve">[BROAD_SCAN]  </w:t>
      </w:r>
    </w:p>
    <w:p>
      <w:pPr>
        <w:spacing w:after="80"/>
        <w:ind w:left="360"/>
      </w:pPr>
      <w:r>
        <w:rPr>
          <w:b/>
        </w:rPr>
        <w:t>Penn State DNA-perovskite hybrid memory claims 100x lower power</w:t>
      </w:r>
      <w:r>
        <w:t xml:space="preserve"> — </w:t>
      </w:r>
      <w:r>
        <w:t>Penn State researchers combined synthetic DNA with crystalline perovskite to build a bio-hybrid device that stores and processes data in place at roughly 100x lower power than conventional memory (Advanced Functional Materials, Aug 17, 2026).</w:t>
      </w:r>
      <w:r>
        <w:rPr>
          <w:color w:val="0969DA"/>
          <w:sz w:val="16"/>
        </w:rPr>
        <w:t xml:space="preserve">  (https://www.sciencedaily.com/releases/2026/08/260816044853.htm)</w:t>
      </w:r>
    </w:p>
    <w:p>
      <w:r>
        <w:br w:type="page"/>
      </w:r>
    </w:p>
    <w:p>
      <w:pPr>
        <w:pStyle w:val="Heading1"/>
      </w:pPr>
      <w:r>
        <w:t>Weekly history</w:t>
      </w:r>
    </w:p>
    <w:p>
      <w:r>
        <w:rPr>
          <w:i/>
        </w:rPr>
        <w:t>All 26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2026-08-21.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