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2026-07-31 · 16 breakthroughs · 24 weekly entries</w:t>
      </w:r>
    </w:p>
    <w:p/>
    <w:p>
      <w:pPr>
        <w:pStyle w:val="Heading1"/>
      </w:pPr>
      <w:r>
        <w:t>Latest run · week ending 2026-07-31</w:t>
      </w:r>
    </w:p>
    <w:p>
      <w:r>
        <w:rPr>
          <w:b/>
        </w:rPr>
        <w:t xml:space="preserve">Kind: </w:t>
      </w:r>
      <w:r>
        <w:t>WEEKLY_UPDATE</w:t>
      </w:r>
      <w:r>
        <w:t xml:space="preserve"> · </w:t>
      </w:r>
      <w:r>
        <w:rPr>
          <w:i/>
        </w:rPr>
        <w:t>Generated 2026-07-31T14:35:32</w:t>
      </w:r>
    </w:p>
    <w:p>
      <w:r>
        <w:rPr>
          <w:sz w:val="22"/>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p>
      <w:pPr>
        <w:spacing w:after="40"/>
      </w:pPr>
      <w:r>
        <w:rPr>
          <w:b/>
        </w:rPr>
        <w:t xml:space="preserve">  • New breakthroughs: </w:t>
      </w:r>
      <w:r>
        <w:t>0</w:t>
      </w:r>
    </w:p>
    <w:p>
      <w:pPr>
        <w:spacing w:after="40"/>
      </w:pPr>
      <w:r>
        <w:rPr>
          <w:b/>
        </w:rPr>
        <w:t xml:space="preserve">  • New sub-ideas: </w:t>
      </w:r>
      <w:r>
        <w:t>2</w:t>
      </w:r>
    </w:p>
    <w:p>
      <w:pPr>
        <w:spacing w:after="40"/>
      </w:pPr>
      <w:r>
        <w:rPr>
          <w:b/>
        </w:rPr>
        <w:t xml:space="preserve">  • New frontier results: </w:t>
      </w:r>
      <w:r>
        <w:t>6</w:t>
      </w:r>
    </w:p>
    <w:p>
      <w:pPr>
        <w:spacing w:after="40"/>
      </w:pPr>
      <w:r>
        <w:rPr>
          <w:b/>
        </w:rPr>
        <w:t xml:space="preserve">  • New watch picks: </w:t>
      </w:r>
      <w:r>
        <w:t>1</w:t>
      </w:r>
    </w:p>
    <w:p>
      <w:pPr>
        <w:spacing w:after="40"/>
      </w:pPr>
      <w:r>
        <w:rPr>
          <w:b/>
        </w:rPr>
        <w:t xml:space="preserve">  • New people: </w:t>
      </w:r>
      <w:r>
        <w:t>0</w:t>
      </w:r>
    </w:p>
    <w:p>
      <w:pPr>
        <w:spacing w:after="40"/>
      </w:pPr>
      <w:r>
        <w:rPr>
          <w:b/>
        </w:rPr>
        <w:t xml:space="preserve">  • Updated facts: </w:t>
      </w:r>
      <w:r>
        <w:t>9</w:t>
      </w:r>
    </w:p>
    <w:p>
      <w:pPr>
        <w:pStyle w:val="Heading2"/>
      </w:pPr>
      <w:r>
        <w:t>Highlights</w:t>
      </w:r>
    </w:p>
    <w:p>
      <w:pPr>
        <w:spacing w:after="40"/>
      </w:pPr>
      <w:r>
        <w:rPr>
          <w:b/>
          <w:color w:val="9A6700"/>
          <w:sz w:val="18"/>
        </w:rPr>
        <w:t xml:space="preserve">[Updated fact]  </w:t>
      </w:r>
      <w:r>
        <w:rPr>
          <w:i/>
          <w:color w:val="57606A"/>
          <w:sz w:val="18"/>
        </w:rPr>
        <w:t xml:space="preserve">#16 AI dev ecosystem &amp; agent primitives (MCP, skills, agents, orchestration)  </w:t>
      </w:r>
    </w:p>
    <w:p>
      <w:pPr>
        <w:spacing w:after="80"/>
        <w:ind w:left="360"/>
      </w:pPr>
      <w:r>
        <w:rPr>
          <w:b/>
        </w:rPr>
        <w:t>MCP ships 2026-07-28 spec: stateless core, MRTR, auth hardening</w:t>
      </w:r>
      <w:r>
        <w:t xml:space="preserve"> — </w:t>
      </w:r>
      <w:r>
        <w:t>The Model Context Protocol's biggest revision to date went live July 28, 2026, replacing the stateful session model with a stateless request/response core, adding Multi Round-Trip Requests, header-based routing, cacheable list results, and RFC 9207 auth hardening; all Tier 1 SDKs (TS, Python, Go, C#) updated same day.</w:t>
      </w:r>
      <w:r>
        <w:rPr>
          <w:color w:val="0969DA"/>
          <w:sz w:val="16"/>
        </w:rPr>
        <w:t xml:space="preserve">  (https://blog.modelcontextprotocol.io/posts/2026-07-28/)</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Anthropic launches Claude Opus 5, new SOTA on coding/agentic evals</w:t>
      </w:r>
      <w:r>
        <w:t xml:space="preserve"> — </w:t>
      </w:r>
      <w:r>
        <w:t>Released July 24, 2026, Opus 5 tops Frontier-Bench, CursorBench, ARC-AGI-3 and OSWorld 2.0 at roughly half Fable 5's cost, with a 1M-token context and 'xhigh' reasoning effort; Anthropic also reports it as its most aligned model to date.</w:t>
      </w:r>
      <w:r>
        <w:rPr>
          <w:color w:val="0969DA"/>
          <w:sz w:val="16"/>
        </w:rPr>
        <w:t xml:space="preserve">  (https://www.anthropic.com/news/claude-opus-5)</w:t>
      </w:r>
    </w:p>
    <w:p>
      <w:pPr>
        <w:spacing w:after="40"/>
      </w:pPr>
      <w:r>
        <w:rPr>
          <w:b/>
          <w:color w:val="9A6700"/>
          <w:sz w:val="18"/>
        </w:rPr>
        <w:t xml:space="preserve">[Updated fact]  </w:t>
      </w:r>
      <w:r>
        <w:rPr>
          <w:i/>
          <w:color w:val="57606A"/>
          <w:sz w:val="18"/>
        </w:rPr>
        <w:t xml:space="preserve">#12 Humanoid robotics  </w:t>
      </w:r>
    </w:p>
    <w:p>
      <w:pPr>
        <w:spacing w:after="80"/>
        <w:ind w:left="360"/>
      </w:pPr>
      <w:r>
        <w:rPr>
          <w:b/>
        </w:rPr>
        <w:t>Agility Robotics advances SPAC listing, opens Fremont Physical-AI hub</w:t>
      </w:r>
      <w:r>
        <w:t xml:space="preserve"> — </w:t>
      </w:r>
      <w:r>
        <w:t>Agility Robotics' merger with Churchill Capital Corp XI (pre-money ~$2.5B) is progressing toward a 2026 public listing; the company opened a 60,000 sq ft Fremont Physical AI hub, and Digit has logged 65,000+ operating hours across nine customer sites with $300M+ in multi-year orders.</w:t>
      </w:r>
      <w:r>
        <w:rPr>
          <w:color w:val="0969DA"/>
          <w:sz w:val="16"/>
        </w:rPr>
        <w:t xml:space="preserve">  (https://www.globenewswire.com/news-release/2026/07/28/3333986/0/en/Humanoid-Global-Provides-Update-on-Agility-Robotics-Public-Listing-Opens-Silicon-Valley-AI-Hub-to-Scale-Digit-Deployments.html)</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IIHS: Waymo driverless crash rate 68% lower than human drivers</w:t>
      </w:r>
      <w:r>
        <w:t xml:space="preserve"> — </w:t>
      </w:r>
      <w:r>
        <w:t>A new IIHS study (published July 23, 2026) comparing 50M driverless miles to 222B human miles across Phoenix, SF, LA and Austin found Waymo's crash-involvement rate 68% lower overall (85% lower for single-vehicle crashes, 81% lower for injury crashes), while flagging federal crash-reporting data is not yet adequate for monitoring large-scale AV expansion.</w:t>
      </w:r>
      <w:r>
        <w:rPr>
          <w:color w:val="0969DA"/>
          <w:sz w:val="16"/>
        </w:rPr>
        <w:t xml:space="preserve">  (https://www.iihs.org/news/detail/waymos-driverless-cars-crash-less-often-than-people)</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FCC adds foreign humanoid/quadruped robots to import Covered List</w:t>
      </w:r>
      <w:r>
        <w:t xml:space="preserve"> — </w:t>
      </w:r>
      <w:r>
        <w:t>On July 28, 2026 the FCC added foreign-produced advanced robotic devices (humanoids and quadrupeds) and connected power inverters to its Covered List, blocking equipment authorization for new imports over supply-chain/cybersecurity risk; a Department of War national-security review can grant conditional approval.</w:t>
      </w:r>
      <w:r>
        <w:rPr>
          <w:color w:val="0969DA"/>
          <w:sz w:val="16"/>
        </w:rPr>
        <w:t xml:space="preserve">  (https://www.fcc.gov/document/fcc-adds-foreign-produced-power-inverters-and-robots-covered-list-0)</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CRISPR RNA-editing tool restores MHC-I, boosts immunotherapy in prostate cancer</w:t>
      </w:r>
      <w:r>
        <w:t xml:space="preserve"> — </w:t>
      </w:r>
      <w:r>
        <w:t>A CRISPR/dCas13-based 3'UTR engineering system reversed SPSB1-driven MHC-I loss in prostate tumors, restoring CD8 T-cell infiltration and sensitizing tumors to checkpoint therapy in mice; published in Nature Biomedical Engineering and covered the week of July 26, 2026.</w:t>
      </w:r>
      <w:r>
        <w:rPr>
          <w:color w:val="0969DA"/>
          <w:sz w:val="16"/>
        </w:rPr>
        <w:t xml:space="preserve">  (https://www.nature.com/articles/s41551-026-01720-9)</w:t>
      </w:r>
      <w:r>
        <w:rPr>
          <w:color w:val="0969DA"/>
          <w:sz w:val="16"/>
        </w:rPr>
        <w:t xml:space="preserve">  (https://www.sciencedaily.com/releases/2026/07/260726015250.htm)</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China's Neuracle performs first commercial invasive BCI implant</w:t>
      </w:r>
      <w:r>
        <w:t xml:space="preserve"> — </w:t>
      </w:r>
      <w:r>
        <w:t>Neuracle Technology implanted its NMPA-approved NEO epidural BCI in a paralyzed patient at Huashan Hospital on July 13, 2026, giving him robotic-glove control via an epidural electrode array.</w:t>
      </w:r>
      <w:r>
        <w:rPr>
          <w:color w:val="0969DA"/>
          <w:sz w:val="16"/>
        </w:rPr>
        <w:t xml:space="preserve">  (https://www.scmp.com/tech/big-tech/article/3360684/china-completes-worlds-first-commercial-brain-computer-interface-implant)</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mRNA melanoma vaccine sustains 49% recurrence-risk cut at 5-year mark</w:t>
      </w:r>
      <w:r>
        <w:t xml:space="preserve"> — </w:t>
      </w:r>
      <w:r>
        <w:t>Five-year follow-up of KEYNOTE-942 showed intismeran autogene (mRNA-4157/V940) plus pembrolizumab maintained a 49% reduction in recurrence/death risk versus pembrolizumab alone in resected high-risk melanoma; published in Journal of Clinical Oncology.</w:t>
      </w:r>
      <w:r>
        <w:rPr>
          <w:color w:val="0969DA"/>
          <w:sz w:val="16"/>
        </w:rPr>
        <w:t xml:space="preserve">  (https://ascopubs.org/doi/10.1200/JCO-26-00835)</w:t>
      </w:r>
    </w:p>
    <w:p>
      <w:pPr>
        <w:spacing w:after="40"/>
      </w:pPr>
      <w:r>
        <w:rPr>
          <w:b/>
          <w:color w:val="0969DA"/>
          <w:sz w:val="18"/>
        </w:rPr>
        <w:t xml:space="preserve">[New frontier result]  </w:t>
      </w:r>
      <w:r>
        <w:rPr>
          <w:i/>
          <w:color w:val="57606A"/>
          <w:sz w:val="18"/>
        </w:rPr>
        <w:t xml:space="preserve">#05 mRNA vaccines + LNP delivery  </w:t>
      </w:r>
    </w:p>
    <w:p>
      <w:pPr>
        <w:spacing w:after="80"/>
        <w:ind w:left="360"/>
      </w:pPr>
      <w:r>
        <w:rPr>
          <w:b/>
        </w:rPr>
        <w:t>First mRNA flu vaccine (Moderna mRNA-1010) awaits FDA decision Aug 5</w:t>
      </w:r>
      <w:r>
        <w:t xml:space="preserve"> — </w:t>
      </w:r>
      <w:r>
        <w:t>FDA's VRBPAC voted 9-0 (adults 50-64 and 65+) that Moderna's mRNA-1010 seasonal flu vaccine benefits outweigh risks; the PDUFA date is August 5, 2026, which would make it the first licensed mRNA seasonal flu vaccine in the US.</w:t>
      </w:r>
      <w:r>
        <w:rPr>
          <w:color w:val="0969DA"/>
          <w:sz w:val="16"/>
        </w:rPr>
        <w:t xml:space="preserve">  (https://www.biopharmadive.com/news/moderna-mflusiva-mrna-flu-vaccine-fda-committee-vote/823275/)</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Experiment-guided AlphaFold3 resolves protein structural ensembles</w:t>
      </w:r>
      <w:r>
        <w:t xml:space="preserve"> — </w:t>
      </w:r>
      <w:r>
        <w:t>ISTA researchers extended AlphaFold3 to be guided by NMR, X-ray, and cryo-EM data simultaneously, overcoming its single-conformation limitation and producing measurement-consistent protein structural ensembles; published in Nature Biotechnology and highlighted July 27, 2026.</w:t>
      </w:r>
      <w:r>
        <w:rPr>
          <w:color w:val="0969DA"/>
          <w:sz w:val="16"/>
        </w:rPr>
        <w:t xml:space="preserve">  (https://www.nature.com/articles/s41587-026-03166-5)</w:t>
      </w:r>
      <w:r>
        <w:rPr>
          <w:color w:val="0969DA"/>
          <w:sz w:val="16"/>
        </w:rPr>
        <w:t xml:space="preserve">  (https://aihub.org/2026/07/27/towards-experiment-guided-alphafold/)</w:t>
      </w:r>
    </w:p>
    <w:p>
      <w:pPr>
        <w:spacing w:after="40"/>
      </w:pPr>
      <w:r>
        <w:rPr>
          <w:b/>
          <w:color w:val="9A6700"/>
          <w:sz w:val="18"/>
        </w:rPr>
        <w:t xml:space="preserve">[Updated fact]  </w:t>
      </w:r>
      <w:r>
        <w:rPr>
          <w:i/>
          <w:color w:val="57606A"/>
          <w:sz w:val="18"/>
        </w:rPr>
        <w:t xml:space="preserve">#08 Quantum error correction (logical qubits below threshold)  </w:t>
      </w:r>
    </w:p>
    <w:p>
      <w:pPr>
        <w:spacing w:after="80"/>
        <w:ind w:left="360"/>
      </w:pPr>
      <w:r>
        <w:rPr>
          <w:b/>
        </w:rPr>
        <w:t>IBM &amp; U Chicago claim verifiable quantum advantage on logical circuits</w:t>
      </w:r>
      <w:r>
        <w:t xml:space="preserve"> — </w:t>
      </w:r>
      <w:r>
        <w:t>IBM and University of Chicago researchers ran thousands of logical two-qubit operations across error-corrected logical qubits, completing a task claimed infeasible for classical simulation while providing a verifiability criterion combining hardness and result-checking.</w:t>
      </w:r>
      <w:r>
        <w:rPr>
          <w:color w:val="0969DA"/>
          <w:sz w:val="16"/>
        </w:rPr>
        <w:t xml:space="preserve">  (https://newsroom.ibm.com/2026-07-30-ibm-and-the-university-of-chicago-demonstrate-quantum-advantage,-establishing-trusted-quantum-computation-on-logical-circuits)</w:t>
      </w:r>
      <w:r>
        <w:rPr>
          <w:color w:val="0969DA"/>
          <w:sz w:val="16"/>
        </w:rPr>
        <w:t xml:space="preserve">  (https://arxiv.org/abs/2607.25941)</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Starship Flight 13 deploys first Starlink V3 sats, upper stage survives reentry</w:t>
      </w:r>
      <w:r>
        <w:t xml:space="preserve"> — </w:t>
      </w:r>
      <w:r>
        <w:t>SpaceX's 13th Starship test flight (late July 2026) deployed Starlink V3 satellites and returned an intact upper stage after reentry, yielding heat-shield performance data under elevated dynamic pressure.</w:t>
      </w:r>
      <w:r>
        <w:rPr>
          <w:color w:val="0969DA"/>
          <w:sz w:val="16"/>
        </w:rPr>
        <w:t xml:space="preserve">  (https://phys.org/news/2026-07-lucky-starship-deploys-starlink-satellites.html)</w:t>
      </w:r>
      <w:r>
        <w:rPr>
          <w:color w:val="0969DA"/>
          <w:sz w:val="16"/>
        </w:rPr>
        <w:t xml:space="preserve">  (https://www.theregister.com/science/2026/07/27/spacex-just-about-nails-starship-test-flight-13/)</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LONGi sets 35.5% efficiency record for silicon-perovskite tandem cell</w:t>
      </w:r>
      <w:r>
        <w:t xml:space="preserve"> — </w:t>
      </w:r>
      <w:r>
        <w:t>LONGi's crystalline silicon-perovskite tandem cell hit an ESTI-certified 35.5% conversion efficiency, announced July 14, 2026, up from 35.2% two months earlier, edging toward the tandem theoretical limit.</w:t>
      </w:r>
      <w:r>
        <w:rPr>
          <w:color w:val="0969DA"/>
          <w:sz w:val="16"/>
        </w:rPr>
        <w:t xml:space="preserve">  (https://www.pv-magazine.com/2026/07/15/longi-sets-new-world-record-with-35-5-efficient-perovskite-silicon-tandem-cell/)</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Silicon photonics foundries hit mass-production inflection for co-packaged optics</w:t>
      </w:r>
      <w:r>
        <w:t xml:space="preserve"> — </w:t>
      </w:r>
      <w:r>
        <w:t>TrendForce (July 30, 2026) reports UMC/SILITH shipped first mass-produced 12-inch silicon photonics wafers and TSMC's COUPE platform entered production, scaling co-packaged optics to relieve interconnect bandwidth limits for AI accelerators.</w:t>
      </w:r>
      <w:r>
        <w:rPr>
          <w:color w:val="0969DA"/>
          <w:sz w:val="16"/>
        </w:rPr>
        <w:t xml:space="preserve">  (https://www.trendforce.com/news/2026/07/30/news-mass-production-and-capacity-expansion-accelerate-reshaping-the-foundry-landscape-in-silicon-photonics/)</w:t>
      </w:r>
    </w:p>
    <w:p>
      <w:pPr>
        <w:spacing w:after="40"/>
      </w:pPr>
      <w:r>
        <w:rPr>
          <w:b/>
          <w:color w:val="6639BA"/>
          <w:sz w:val="18"/>
        </w:rPr>
        <w:t xml:space="preserve">[New sub-idea]  </w:t>
      </w:r>
      <w:r>
        <w:rPr>
          <w:i/>
          <w:color w:val="57606A"/>
          <w:sz w:val="18"/>
        </w:rPr>
        <w:t xml:space="preserve">#10 Renewables + battery cost collapse  </w:t>
      </w:r>
    </w:p>
    <w:p>
      <w:pPr>
        <w:spacing w:after="80"/>
        <w:ind w:left="360"/>
      </w:pPr>
      <w:r>
        <w:rPr>
          <w:b/>
        </w:rPr>
        <w:t>Ore Energy signs 1 GWh iron-air multi-day storage deal with Dutch utility</w:t>
      </w:r>
      <w:r>
        <w:t xml:space="preserve"> — </w:t>
      </w:r>
      <w:r>
        <w:t>Ore Energy and Budget Thuis announced continental Europe's largest iron-air storage offtake, up to 1 GWh with a 400-MWh first phase for 2028 delivery, targeting multi-day discharge lithium-ion cannot economically match.</w:t>
      </w:r>
      <w:r>
        <w:rPr>
          <w:color w:val="0969DA"/>
          <w:sz w:val="16"/>
        </w:rPr>
        <w:t xml:space="preserve">  (https://www.energy-storage.news/multi-day-energy-storage-startup-ore-energy-signs-1gwh-iron-air-battery-deal-with-dutch-utility/)</w:t>
      </w:r>
    </w:p>
    <w:p>
      <w:pPr>
        <w:spacing w:after="40"/>
      </w:pPr>
      <w:r>
        <w:rPr>
          <w:b/>
          <w:color w:val="9A6700"/>
          <w:sz w:val="18"/>
        </w:rPr>
        <w:t xml:space="preserve">[Updated fact]  </w:t>
      </w:r>
      <w:r>
        <w:rPr>
          <w:i/>
          <w:color w:val="57606A"/>
          <w:sz w:val="18"/>
        </w:rPr>
        <w:t xml:space="preserve">#13 Fusion energy  </w:t>
      </w:r>
    </w:p>
    <w:p>
      <w:pPr>
        <w:spacing w:after="80"/>
        <w:ind w:left="360"/>
      </w:pPr>
      <w:r>
        <w:rPr>
          <w:b/>
        </w:rPr>
        <w:t>LLNL/Pacific Fusion Sirius pulser hits 3,000-shot reliability milestone</w:t>
      </w:r>
      <w:r>
        <w:t xml:space="preserve"> — </w:t>
      </w:r>
      <w:r>
        <w:t>Lawrence Livermore National Lab and Pacific Fusion surpassed 3,000 shots on the Sirius impedance-matched Marx generator, advancing pulsed-power inertial-fusion driver technology under their CRADA.</w:t>
      </w:r>
      <w:r>
        <w:rPr>
          <w:color w:val="0969DA"/>
          <w:sz w:val="16"/>
        </w:rPr>
        <w:t xml:space="preserve">  (https://www.llnl.gov/article/54696/llnl-pacific-fusion-partnership-advances-next-generation-pulsed-power-technology)</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Study: frontier AI agents fail at genuine open-ended research judgment</w:t>
      </w:r>
      <w:r>
        <w:t xml:space="preserve"> — </w:t>
      </w:r>
      <w:r>
        <w:t>Princeton/UK AISI/Stanford researchers gave frontier AI agents six days and thousands of dollars of compute to pursue two unpublished papers; the agents completed the engineering but were rejected by the original human authors for poor judgment, uncreative problem-solving, and weak backtracking.</w:t>
      </w:r>
      <w:r>
        <w:rPr>
          <w:color w:val="0969DA"/>
          <w:sz w:val="16"/>
        </w:rPr>
        <w:t xml:space="preserve">  (https://arxiv.org/abs/2607.27191)</w:t>
      </w:r>
    </w:p>
    <w:p>
      <w:pPr>
        <w:spacing w:after="40"/>
      </w:pPr>
      <w:r>
        <w:rPr>
          <w:b/>
          <w:color w:val="57606A"/>
          <w:sz w:val="18"/>
        </w:rPr>
        <w:t xml:space="preserve">[NEW_VOICE]  </w:t>
      </w:r>
    </w:p>
    <w:p>
      <w:pPr>
        <w:spacing w:after="80"/>
        <w:ind w:left="360"/>
      </w:pPr>
      <w:r>
        <w:rPr>
          <w:b/>
        </w:rPr>
        <w:t>Sayash Kapoor — Princeton AI researcher gaining traction on agent evals</w:t>
      </w:r>
      <w:r>
        <w:t xml:space="preserve"> — </w:t>
      </w:r>
      <w:r>
        <w:t>Co-author of 'AI Snake Oil' and of the new study on whether AI agents can conduct real open-ended research; his empirically-grounded critiques of agent capability claims are spreading fast this week.</w:t>
      </w:r>
      <w:r>
        <w:rPr>
          <w:color w:val="0969DA"/>
          <w:sz w:val="16"/>
        </w:rPr>
        <w:t xml:space="preserve">  (https://www.cs.princeton.edu/~sayashk/)</w:t>
      </w:r>
      <w:r>
        <w:rPr>
          <w:color w:val="0969DA"/>
          <w:sz w:val="16"/>
        </w:rPr>
        <w:t xml:space="preserve">  (https://arxiv.org/abs/2607.27191)</w:t>
      </w:r>
    </w:p>
    <w:p>
      <w:pPr>
        <w:spacing w:after="40"/>
      </w:pPr>
      <w:r>
        <w:rPr>
          <w:b/>
          <w:color w:val="57606A"/>
          <w:sz w:val="18"/>
        </w:rPr>
        <w:t xml:space="preserve">[BROAD_SCAN]  </w:t>
      </w:r>
    </w:p>
    <w:p>
      <w:pPr>
        <w:spacing w:after="80"/>
        <w:ind w:left="360"/>
      </w:pPr>
      <w:r>
        <w:rPr>
          <w:b/>
        </w:rPr>
        <w:t>Germany's largest direct air capture facility comes online in Berlin</w:t>
      </w:r>
      <w:r>
        <w:t xml:space="preserve"> — </w:t>
      </w:r>
      <w:r>
        <w:t>Siemens and Ucaneo's electrochemical DAC plant, inspired by the human lung, began operating in Berlin, delivering CO2 at over 99.9% purity as DAC deployment activity accelerates.</w:t>
      </w:r>
      <w:r>
        <w:rPr>
          <w:color w:val="0969DA"/>
          <w:sz w:val="16"/>
        </w:rPr>
        <w:t xml:space="preserve">  (https://www.chemeurope.com/en/news/1189062/siemens-and-ucaneo-partner-to-scale-direct-air-capture.html)</w:t>
      </w:r>
    </w:p>
    <w:p>
      <w:pPr>
        <w:spacing w:after="40"/>
      </w:pPr>
      <w:r>
        <w:rPr>
          <w:b/>
          <w:color w:val="57606A"/>
          <w:sz w:val="18"/>
        </w:rPr>
        <w:t xml:space="preserve">[BROAD_SCAN]  </w:t>
      </w:r>
    </w:p>
    <w:p>
      <w:pPr>
        <w:spacing w:after="80"/>
        <w:ind w:left="360"/>
      </w:pPr>
      <w:r>
        <w:rPr>
          <w:b/>
        </w:rPr>
        <w:t>Next-gen geothermal starts undercutting nuclear on installed cost</w:t>
      </w:r>
      <w:r>
        <w:t xml:space="preserve"> — </w:t>
      </w:r>
      <w:r>
        <w:t>Fervo's Cape Station Phase 2 is tracking toward roughly $5,500/kW installed while Quaise Energy closed a $134M Series B tranche for superhot-rock geothermal, signaling geothermal's cost trajectory closing in on advanced nuclear.</w:t>
      </w:r>
      <w:r>
        <w:rPr>
          <w:color w:val="0969DA"/>
          <w:sz w:val="16"/>
        </w:rPr>
        <w:t xml:space="preserve">  (https://oilprice.com/Alternative-Energy/Geothermal-Energy/Two-Geothermal-Bets-Are-Starting-to-Undercut-Nuclear-on-Cost.html)</w:t>
      </w:r>
    </w:p>
    <w:p>
      <w:pPr>
        <w:spacing w:after="40"/>
      </w:pPr>
      <w:r>
        <w:rPr>
          <w:b/>
          <w:color w:val="57606A"/>
          <w:sz w:val="18"/>
        </w:rPr>
        <w:t xml:space="preserve">[BROAD_SCAN]  </w:t>
      </w:r>
    </w:p>
    <w:p>
      <w:pPr>
        <w:spacing w:after="80"/>
        <w:ind w:left="360"/>
      </w:pPr>
      <w:r>
        <w:rPr>
          <w:b/>
        </w:rPr>
        <w:t>SMR nuclear stocks surge on industry momentum (Oklo, NuScale, X-Energy)</w:t>
      </w:r>
      <w:r>
        <w:t xml:space="preserve"> — </w:t>
      </w:r>
      <w:r>
        <w:t>Shares in Oklo, NuScale, and X-Energy each jumped more than 10% on July 30 amid positive small-modular-reactor news, including Holtec's NRC-approved plan to build four SMRs at the Oyster Creek site.</w:t>
      </w:r>
      <w:r>
        <w:rPr>
          <w:color w:val="0969DA"/>
          <w:sz w:val="16"/>
        </w:rPr>
        <w:t xml:space="preserve">  (https://www.tipranks.com/news/oklo-smr-xe-why-are-nuclear-stocks-soaring-today-july-30-2026)</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Ore Energy — iron-air multi-day storage startup (Delft spinout)</w:t>
      </w:r>
      <w:r>
        <w:t xml:space="preserve"> — </w:t>
      </w:r>
      <w:r>
        <w:t>Dutch iron-air 'rust battery' startup targeting 24-100h multi-day discharge; just signed continental Europe's largest iron-air offtake (up to 1 GWh) with utility Budget Thuis, making it a notable player in the long-duration storage gap.</w:t>
      </w:r>
      <w:r>
        <w:rPr>
          <w:color w:val="0969DA"/>
          <w:sz w:val="16"/>
        </w:rPr>
        <w:t xml:space="preserve">  (https://www.energy-storage.news/multi-day-energy-storage-startup-ore-energy-signs-1gwh-iron-air-battery-deal-with-dutch-utility/)</w:t>
      </w:r>
      <w:r>
        <w:rPr>
          <w:color w:val="0969DA"/>
          <w:sz w:val="16"/>
        </w:rPr>
        <w:t xml:space="preserve">  (https://ore.energy/)</w:t>
      </w:r>
    </w:p>
    <w:p>
      <w:r>
        <w:br w:type="page"/>
      </w:r>
    </w:p>
    <w:p>
      <w:pPr>
        <w:pStyle w:val="Heading1"/>
      </w:pPr>
      <w:r>
        <w:t>Weekly history</w:t>
      </w:r>
    </w:p>
    <w:p>
      <w:r>
        <w:rPr>
          <w:i/>
        </w:rPr>
        <w:t>All 24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2026-07-31.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