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2026-07-03 · 16 breakthroughs · 20 weekly entries</w:t>
      </w:r>
    </w:p>
    <w:p/>
    <w:p>
      <w:pPr>
        <w:pStyle w:val="Heading1"/>
      </w:pPr>
      <w:r>
        <w:t>Latest run · week ending 2026-07-03</w:t>
      </w:r>
    </w:p>
    <w:p>
      <w:r>
        <w:rPr>
          <w:b/>
        </w:rPr>
        <w:t xml:space="preserve">Kind: </w:t>
      </w:r>
      <w:r>
        <w:t>WEEKLY_UPDATE</w:t>
      </w:r>
      <w:r>
        <w:t xml:space="preserve"> · </w:t>
      </w:r>
      <w:r>
        <w:rPr>
          <w:i/>
        </w:rPr>
        <w:t>Generated 2026-07-03T13:44:30</w:t>
      </w:r>
    </w:p>
    <w:p>
      <w:r>
        <w:rPr>
          <w:sz w:val="22"/>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p>
      <w:pPr>
        <w:spacing w:after="40"/>
      </w:pPr>
      <w:r>
        <w:rPr>
          <w:b/>
        </w:rPr>
        <w:t xml:space="preserve">  • New breakthroughs: </w:t>
      </w:r>
      <w:r>
        <w:t>0</w:t>
      </w:r>
    </w:p>
    <w:p>
      <w:pPr>
        <w:spacing w:after="40"/>
      </w:pPr>
      <w:r>
        <w:rPr>
          <w:b/>
        </w:rPr>
        <w:t xml:space="preserve">  • New sub-ideas: </w:t>
      </w:r>
      <w:r>
        <w:t>2</w:t>
      </w:r>
    </w:p>
    <w:p>
      <w:pPr>
        <w:spacing w:after="40"/>
      </w:pPr>
      <w:r>
        <w:rPr>
          <w:b/>
        </w:rPr>
        <w:t xml:space="preserve">  • New frontier results: </w:t>
      </w:r>
      <w:r>
        <w:t>10</w:t>
      </w:r>
    </w:p>
    <w:p>
      <w:pPr>
        <w:spacing w:after="40"/>
      </w:pPr>
      <w:r>
        <w:rPr>
          <w:b/>
        </w:rPr>
        <w:t xml:space="preserve">  • New watch picks: </w:t>
      </w:r>
      <w:r>
        <w:t>5</w:t>
      </w:r>
    </w:p>
    <w:p>
      <w:pPr>
        <w:spacing w:after="40"/>
      </w:pPr>
      <w:r>
        <w:rPr>
          <w:b/>
        </w:rPr>
        <w:t xml:space="preserve">  • New people: </w:t>
      </w:r>
      <w:r>
        <w:t>0</w:t>
      </w:r>
    </w:p>
    <w:p>
      <w:pPr>
        <w:spacing w:after="40"/>
      </w:pPr>
      <w:r>
        <w:rPr>
          <w:b/>
        </w:rPr>
        <w:t xml:space="preserve">  • Updated facts: </w:t>
      </w:r>
      <w:r>
        <w:t>2</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OpenAI opens government-gated preview of GPT-5.6 Sol/Terra/Luna</w:t>
      </w:r>
      <w:r>
        <w:t xml:space="preserve"> — </w:t>
      </w:r>
      <w:r>
        <w:t>OpenAI began a limited preview of the GPT-5.6 family — Sol (flagship), Terra, and Luna — with Sol setting a new state of the art on Terminal-Bench 2.1 and priced $5/$30 per-M input/output tokens; broad release is gated by a US-government access process tied to a forthcoming cyber Executive Order framework.</w:t>
      </w:r>
      <w:r>
        <w:rPr>
          <w:color w:val="0969DA"/>
          <w:sz w:val="16"/>
        </w:rPr>
        <w:t xml:space="preserve">  (https://openai.com/index/previewing-gpt-5-6-sol/)</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Anthropic ships Claude Sonnet 5 at cut-rate introductory pricing</w:t>
      </w:r>
      <w:r>
        <w:t xml:space="preserve"> — </w:t>
      </w:r>
      <w:r>
        <w:t>Claude Sonnet 5 launched June 30 as the default for Free/Pro plans with introductory $2/$10 per-M input/output pricing (rising to $3/$15 after Aug 31); Anthropic reports gains on BrowseComp, OSWorld-Verified and Humanity's Last Exam and materially improved autonomous tool-use/agentic reasoning over Sonnet 4.6. (Corrected: earlier draft's '1M context' and 'GDPval-AA' claims were not in the source and were removed.)</w:t>
      </w:r>
      <w:r>
        <w:rPr>
          <w:color w:val="0969DA"/>
          <w:sz w:val="16"/>
        </w:rPr>
        <w:t xml:space="preserve">  (https://www.anthropic.com/news/claude-sonnet-5)</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LLM + Lean-4 loop machine-verifies decade-old FGG QAOA conjecture</w:t>
      </w:r>
      <w:r>
        <w:t xml:space="preserve"> — </w:t>
      </w:r>
      <w:r>
        <w:t>Uri Kol, Maor Ben-Shahar, Kfir Sulimany and Dirk Englund (MIT) report the first machine-verified resolution of the Farhi-Goldstone-Gutmann conjecture (that depth-p QAOA on the ring of disagrees attains ratio (2p+1)/(2p+2)); the proof was found by Claude Fable 5 in an agentic feedback loop and certified end-to-end in Lean 4 (arXiv 2606.29687, submitted Jun 29 2026).</w:t>
      </w:r>
      <w:r>
        <w:rPr>
          <w:color w:val="0969DA"/>
          <w:sz w:val="16"/>
        </w:rPr>
        <w:t xml:space="preserve">  (https://arxiv.org/abs/2606.29687)</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XDOF launches with $70M to fix the robot teleoperation-data bottleneck</w:t>
      </w:r>
      <w:r>
        <w:t xml:space="preserve"> — </w:t>
      </w:r>
      <w:r>
        <w:t>XDOF launched with $70M (Thrive Capital, Spark Capital, a16z, Lux Capital, WndrCo) and open-sourced ABC-130K, one of the largest open bimanual manipulation datasets (130K trajectories), targeting the teleoperation-data gap that constrains VLA/robot-foundation training.</w:t>
      </w:r>
      <w:r>
        <w:rPr>
          <w:color w:val="0969DA"/>
          <w:sz w:val="16"/>
        </w:rPr>
        <w:t xml:space="preserve">  (https://siliconangle.com/2026/06/17/robotic-teleoperation-data-startup-xdof-launches-70m-funding/)</w:t>
      </w:r>
      <w:r>
        <w:rPr>
          <w:color w:val="0969DA"/>
          <w:sz w:val="16"/>
        </w:rPr>
        <w:t xml:space="preserve">  (https://www.xdof.ai/blog/abc-130k)</w:t>
      </w:r>
    </w:p>
    <w:p>
      <w:pPr>
        <w:spacing w:after="40"/>
      </w:pPr>
      <w:r>
        <w:rPr>
          <w:b/>
          <w:color w:val="6639BA"/>
          <w:sz w:val="18"/>
        </w:rPr>
        <w:t xml:space="preserve">[New sub-idea]  </w:t>
      </w:r>
      <w:r>
        <w:rPr>
          <w:i/>
          <w:color w:val="57606A"/>
          <w:sz w:val="18"/>
        </w:rPr>
        <w:t xml:space="preserve">#12 Humanoid robotics  </w:t>
      </w:r>
    </w:p>
    <w:p>
      <w:pPr>
        <w:spacing w:after="80"/>
        <w:ind w:left="360"/>
      </w:pPr>
      <w:r>
        <w:rPr>
          <w:b/>
        </w:rPr>
        <w:t>Ambi Robotics + Pickle Robot fully automate trailer-unload-to-palletize</w:t>
      </w:r>
      <w:r>
        <w:t xml:space="preserve"> — </w:t>
      </w:r>
      <w:r>
        <w:t>Announced Jun 30, Pickle Robot's trailer-unloading arms feed Ambi's AmbiStack AI palletizer via conveyor for continuous scan-and-stack with no manual handoff at the dock door — a physical-AI logistics integration aimed at Fortune-500 retail/logistics.</w:t>
      </w:r>
      <w:r>
        <w:rPr>
          <w:color w:val="0969DA"/>
          <w:sz w:val="16"/>
        </w:rPr>
        <w:t xml:space="preserve">  (https://www.businesswire.com/news/home/20260630502727/en/Ambi-Robotics-and-Pickle-Robot-Deliver-Integrated-Physical-AI-Solution-to-Fully-Automate-Inbound-Logistics)</w:t>
      </w:r>
    </w:p>
    <w:p>
      <w:pPr>
        <w:spacing w:after="40"/>
      </w:pPr>
      <w:r>
        <w:rPr>
          <w:b/>
          <w:color w:val="6639BA"/>
          <w:sz w:val="18"/>
        </w:rPr>
        <w:t xml:space="preserve">[New sub-idea]  </w:t>
      </w:r>
      <w:r>
        <w:rPr>
          <w:i/>
          <w:color w:val="57606A"/>
          <w:sz w:val="18"/>
        </w:rPr>
        <w:t xml:space="preserve">#12 Humanoid robotics  </w:t>
      </w:r>
    </w:p>
    <w:p>
      <w:pPr>
        <w:spacing w:after="80"/>
        <w:ind w:left="360"/>
      </w:pPr>
      <w:r>
        <w:rPr>
          <w:b/>
        </w:rPr>
        <w:t>ICRA 2026 Best Paper (Medical Robotics): RCM-constraint surgical control</w:t>
      </w:r>
      <w:r>
        <w:t xml:space="preserve"> — </w:t>
      </w:r>
      <w:r>
        <w:t>A TUM team (Li, Sadeghian, Haddadin et al.) won ICRA 2026's Best Paper Award in Medical Robotics for remote-center-of-motion constraint-consistent dynamic control of surgical robots — a standout in the surgical-robotics area the board doesn't yet track.</w:t>
      </w:r>
      <w:r>
        <w:rPr>
          <w:color w:val="0969DA"/>
          <w:sz w:val="16"/>
        </w:rPr>
        <w:t xml:space="preserve">  (https://2026.ieee-icra.org/awards/)</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NVIDIA launches Halos for Robotics, a full-stack physical-AI safety system</w:t>
      </w:r>
      <w:r>
        <w:t xml:space="preserve"> — </w:t>
      </w:r>
      <w:r>
        <w:t>NVIDIA extended its AV safety architecture to robots via IGX Thor compute, Halos OS and an accredited certification lab; Agility Robotics is the first adopter for factory/warehouse deployments (announced around Automate, Jun 22).</w:t>
      </w:r>
      <w:r>
        <w:rPr>
          <w:color w:val="0969DA"/>
          <w:sz w:val="16"/>
        </w:rPr>
        <w:t xml:space="preserve">  (https://nvidianews.nvidia.com/news/nvidia-announces-halos-for-robotics-the-industrys-first-full-stack-safety-system-for-physical-ai)</w:t>
      </w:r>
    </w:p>
    <w:p>
      <w:pPr>
        <w:spacing w:after="40"/>
      </w:pPr>
      <w:r>
        <w:rPr>
          <w:b/>
          <w:color w:val="57606A"/>
          <w:sz w:val="18"/>
        </w:rPr>
        <w:t xml:space="preserve">[TRENDING_IDEA]  </w:t>
      </w:r>
    </w:p>
    <w:p>
      <w:pPr>
        <w:spacing w:after="80"/>
        <w:ind w:left="360"/>
      </w:pPr>
      <w:r>
        <w:rPr>
          <w:b/>
        </w:rPr>
        <w:t>Local open-weight coding agents pitched as viable Claude Code / Codex alternative</w:t>
      </w:r>
      <w:r>
        <w:t xml:space="preserve"> — </w:t>
      </w:r>
      <w:r>
        <w:t>Sebastian Raschka's 'Using Local Coding Agents' (Jun 27) shows a fully local stack (Qwen3.6, Cohere North Mini Code via Ollama) matching subscription coding-agent workflows, part of a broader push toward self-hosted agentic coding.</w:t>
      </w:r>
      <w:r>
        <w:rPr>
          <w:color w:val="0969DA"/>
          <w:sz w:val="16"/>
        </w:rPr>
        <w:t xml:space="preserve">  (https://magazine.sebastianraschka.com/p/using-local-coding-agents)</w:t>
      </w:r>
    </w:p>
    <w:p>
      <w:pPr>
        <w:spacing w:after="40"/>
      </w:pPr>
      <w:r>
        <w:rPr>
          <w:b/>
          <w:color w:val="57606A"/>
          <w:sz w:val="18"/>
        </w:rPr>
        <w:t xml:space="preserve">[TRENDING_IDEA]  </w:t>
      </w:r>
    </w:p>
    <w:p>
      <w:pPr>
        <w:spacing w:after="80"/>
        <w:ind w:left="360"/>
      </w:pPr>
      <w:r>
        <w:rPr>
          <w:b/>
        </w:rPr>
        <w:t>First bottom-up data: AI quarterly revenue now exceeds capex depreciation</w:t>
      </w:r>
      <w:r>
        <w:t xml:space="preserve"> — </w:t>
      </w:r>
      <w:r>
        <w:t>Exponential View's 'State of the AI Economy' (Jun 25) finds the deduplicated GenAI economy at ~$110B trailing-12-month sales (~$175B annualized run-rate), with Q1 2026 revenue surpassing quarterly infrastructure-depreciation costs for the first time — reframing the 'AI bubble' debate around monetization data.</w:t>
      </w:r>
      <w:r>
        <w:rPr>
          <w:color w:val="0969DA"/>
          <w:sz w:val="16"/>
        </w:rPr>
        <w:t xml:space="preserve">  (https://www.exponentialview.co/p/the-state-of-the-ai-economy)</w:t>
      </w:r>
    </w:p>
    <w:p>
      <w:pPr>
        <w:spacing w:after="40"/>
      </w:pPr>
      <w:r>
        <w:rPr>
          <w:b/>
          <w:color w:val="57606A"/>
          <w:sz w:val="18"/>
        </w:rPr>
        <w:t xml:space="preserve">[TRENDING_IDEA]  </w:t>
      </w:r>
    </w:p>
    <w:p>
      <w:pPr>
        <w:spacing w:after="80"/>
        <w:ind w:left="360"/>
      </w:pPr>
      <w:r>
        <w:rPr>
          <w:b/>
        </w:rPr>
        <w:t>Dean Ball: frontier-access restraint squeezes labs' narrow monetization window</w:t>
      </w:r>
      <w:r>
        <w:t xml:space="preserve"> — </w:t>
      </w:r>
      <w:r>
        <w:t>In '35 thoughts on what has happened and what America should do' (Jun 26), Dean Ball argues frontier labs have only months post-release to recoup training costs and that a near-global TAM is needed to justify the datacenter buildout — an argument against restrictive model-access policy (cited by Simon Willison the same day).</w:t>
      </w:r>
      <w:r>
        <w:rPr>
          <w:color w:val="0969DA"/>
          <w:sz w:val="16"/>
        </w:rPr>
        <w:t xml:space="preserve">  (https://www.hyperdimensional.co/p/what-should-be-done)</w:t>
      </w:r>
      <w:r>
        <w:rPr>
          <w:color w:val="0969DA"/>
          <w:sz w:val="16"/>
        </w:rPr>
        <w:t xml:space="preserve">  (https://simonwillison.net/2026/Jun/26/dean-w-ball/)</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Moderna intismeran mRNA melanoma vaccine: 5-year KEYNOTE-942 data at ASCO</w:t>
      </w:r>
      <w:r>
        <w:t xml:space="preserve"> — </w:t>
      </w:r>
      <w:r>
        <w:t>5-year follow-up of phase 2b KEYNOTE-942 shows the personalized mRNA neoantigen vaccine intismeran plus pembrolizumab sustains a 49% reduction in recurrence/death vs pembrolizumab alone in resected high-risk melanoma (68.8% vs 49.1% recurrence-free at 5 years); phase 3 ongoing.</w:t>
      </w:r>
      <w:r>
        <w:rPr>
          <w:color w:val="0969DA"/>
          <w:sz w:val="16"/>
        </w:rPr>
        <w:t xml:space="preserve">  (https://ascopubs.org/doi/10.1200/JCO.2026.44.16_suppl.9500)</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China approves NEO, the first commercial invasive BCI (Neuracle / Tsinghua)</w:t>
      </w:r>
      <w:r>
        <w:t xml:space="preserve"> — </w:t>
      </w:r>
      <w:r>
        <w:t>China's NMPA approved Neuracle's NEO epidural BCI for commercial use (this March) in spinal-cord-injury quadriplegia patients with residual arm function — the first invasive BCI approved for use outside clinical trials — and is assigning it a reimbursement code.</w:t>
      </w:r>
      <w:r>
        <w:rPr>
          <w:color w:val="0969DA"/>
          <w:sz w:val="16"/>
        </w:rPr>
        <w:t xml:space="preserve">  (https://www.technologyreview.com/2026/06/01/1138133/china-world-first-brain-chip/)</w:t>
      </w:r>
    </w:p>
    <w:p>
      <w:pPr>
        <w:spacing w:after="40"/>
      </w:pPr>
      <w:r>
        <w:rPr>
          <w:b/>
          <w:color w:val="9A6700"/>
          <w:sz w:val="18"/>
        </w:rPr>
        <w:t xml:space="preserve">[Updated fact]  </w:t>
      </w:r>
      <w:r>
        <w:rPr>
          <w:i/>
          <w:color w:val="57606A"/>
          <w:sz w:val="18"/>
        </w:rPr>
        <w:t xml:space="preserve">#06 GLP-1 agonists  </w:t>
      </w:r>
    </w:p>
    <w:p>
      <w:pPr>
        <w:spacing w:after="80"/>
        <w:ind w:left="360"/>
      </w:pPr>
      <w:r>
        <w:rPr>
          <w:b/>
        </w:rPr>
        <w:t>Structure Therapeutics' oral GLP-1 aleniglipron: phase 2b in Nature Medicine</w:t>
      </w:r>
      <w:r>
        <w:t xml:space="preserve"> — </w:t>
      </w:r>
      <w:r>
        <w:t>Once-daily oral small-molecule GLP-1 aleniglipron hit placebo-adjusted weight loss of 8.2/9.8/11.3% at 45/90/120 mg over 36 weeks (n=230, all p&lt;0.0001), published in Nature Medicine Jun 5; phase 3 slated for Q3 2026.</w:t>
      </w:r>
      <w:r>
        <w:rPr>
          <w:color w:val="0969DA"/>
          <w:sz w:val="16"/>
        </w:rPr>
        <w:t xml:space="preserve">  (https://www.nature.com/articles/s41591-026-04476-6)</w:t>
      </w:r>
    </w:p>
    <w:p>
      <w:pPr>
        <w:spacing w:after="40"/>
      </w:pPr>
      <w:r>
        <w:rPr>
          <w:b/>
          <w:color w:val="0E6E6F"/>
          <w:sz w:val="18"/>
        </w:rPr>
        <w:t xml:space="preserve">[New watch pick]  </w:t>
      </w:r>
      <w:r>
        <w:rPr>
          <w:i/>
          <w:color w:val="57606A"/>
          <w:sz w:val="18"/>
        </w:rPr>
        <w:t xml:space="preserve">#04 AlphaFold + computational protein design  </w:t>
      </w:r>
    </w:p>
    <w:p>
      <w:pPr>
        <w:spacing w:after="80"/>
        <w:ind w:left="360"/>
      </w:pPr>
      <w:r>
        <w:rPr>
          <w:b/>
        </w:rPr>
        <w:t>Anthropic launches Claude Science and enters in-house drug development</w:t>
      </w:r>
      <w:r>
        <w:t xml:space="preserve"> — </w:t>
      </w:r>
      <w:r>
        <w:t>Anthropic said (Jun 30) it will develop its own drug candidates using its new Claude Science application, per head of life sciences Eric Kauderer-Abrams — an AI-native drug-discovery entrant (internal initiative, no separate funding round disclosed).</w:t>
      </w:r>
      <w:r>
        <w:rPr>
          <w:color w:val="0969DA"/>
          <w:sz w:val="16"/>
        </w:rPr>
        <w:t xml:space="preserve">  (https://www.statnews.com/2026/06/30/anthropic-ai-drug-development/)</w:t>
      </w:r>
    </w:p>
    <w:p>
      <w:pPr>
        <w:spacing w:after="40"/>
      </w:pPr>
      <w:r>
        <w:rPr>
          <w:b/>
          <w:color w:val="57606A"/>
          <w:sz w:val="18"/>
        </w:rPr>
        <w:t xml:space="preserve">[BROAD_SCAN]  </w:t>
      </w:r>
    </w:p>
    <w:p>
      <w:pPr>
        <w:spacing w:after="80"/>
        <w:ind w:left="360"/>
      </w:pPr>
      <w:r>
        <w:rPr>
          <w:b/>
        </w:rPr>
        <w:t>Grail/NHS Galleri MCED randomized trial misses primary endpoint (ASCO)</w:t>
      </w:r>
      <w:r>
        <w:t xml:space="preserve"> — </w:t>
      </w:r>
      <w:r>
        <w:t>The first randomized MCED trial (143,000 UK adults, 3 annual rounds) failed its primary endpoint of reducing combined stage 3/4 diagnoses, though it showed 52% PPV, quadrupled screen-detected cancers and a stage-4→stage-3 shift; presented by Charles Swanton (Francis Crick) at ASCO — a major nuanced signal for the MCED field.</w:t>
      </w:r>
      <w:r>
        <w:rPr>
          <w:color w:val="0969DA"/>
          <w:sz w:val="16"/>
        </w:rPr>
        <w:t xml:space="preserve">  (https://www.statnews.com/2026/06/04/grail-multi-cancer-early-detection-test-trial-results/)</w:t>
      </w:r>
    </w:p>
    <w:p>
      <w:pPr>
        <w:spacing w:after="40"/>
      </w:pPr>
      <w:r>
        <w:rPr>
          <w:b/>
          <w:color w:val="57606A"/>
          <w:sz w:val="18"/>
        </w:rPr>
        <w:t xml:space="preserve">[BROAD_SCAN]  </w:t>
      </w:r>
    </w:p>
    <w:p>
      <w:pPr>
        <w:spacing w:after="80"/>
        <w:ind w:left="360"/>
      </w:pPr>
      <w:r>
        <w:rPr>
          <w:b/>
        </w:rPr>
        <w:t>Natera Signatera: first blood-based MRD companion dx wins NCCN Category 1 (bladder)</w:t>
      </w:r>
      <w:r>
        <w:t xml:space="preserve"> — </w:t>
      </w:r>
      <w:r>
        <w:t>NCCN updated bladder-cancer guidelines (Jun 23) to a Category 1 recommendation for Signatera-guided adjuvant atezolizumab in MRD-positive muscle-invasive bladder cancer (IMvigor011); Signatera CDx received FDA companion-diagnostic approval May 15 — the first blood-based MRD companion dx.</w:t>
      </w:r>
      <w:r>
        <w:rPr>
          <w:color w:val="0969DA"/>
          <w:sz w:val="16"/>
        </w:rPr>
        <w:t xml:space="preserve">  (https://www.businesswire.com/news/home/20260623843077/en/NCCN-Recommends-ctDNA-MRD-Testing-Using-Signatera-Technology-in-Landmark-Bladder-Cancer-Guideline-Update)</w:t>
      </w:r>
      <w:r>
        <w:rPr>
          <w:color w:val="0969DA"/>
          <w:sz w:val="16"/>
        </w:rPr>
        <w:t xml:space="preserve">  (https://www.natera.com/company/news/signatera-cdx-approved-by-the-fda-as-a-companion-diagnostic-in-muscle-invasive-bladder-cancer-mibc/)</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IQM 'directional tile' codes cut logical error rate up to 1,000x on current hardware</w:t>
      </w:r>
      <w:r>
        <w:t xml:space="preserve"> — </w:t>
      </w:r>
      <w:r>
        <w:t>IQM with academic partners published directional tile codes reaching up to 1,000x lower per-logical per-round error rates than the surface code at ~30 physical qubits per logical qubit, using only native nearest-neighbour iSWAP gates on existing IQM processors (arXiv 2606.19482, Jun 23).</w:t>
      </w:r>
      <w:r>
        <w:rPr>
          <w:color w:val="0969DA"/>
          <w:sz w:val="16"/>
        </w:rPr>
        <w:t xml:space="preserve">  (https://www.businesswire.com/news/home/20260623243333/en/IQM-achieves-milestone-in-quantum-error-correction-enabling-fault-tolerant-computing-in-the-near-term)</w:t>
      </w:r>
      <w:r>
        <w:rPr>
          <w:color w:val="0969DA"/>
          <w:sz w:val="16"/>
        </w:rPr>
        <w:t xml:space="preserve">  (https://arxiv.org/abs/2606.19482)</w:t>
      </w:r>
    </w:p>
    <w:p>
      <w:pPr>
        <w:spacing w:after="40"/>
      </w:pPr>
      <w:r>
        <w:rPr>
          <w:b/>
          <w:color w:val="0969DA"/>
          <w:sz w:val="18"/>
        </w:rPr>
        <w:t xml:space="preserve">[New frontier result]  </w:t>
      </w:r>
      <w:r>
        <w:rPr>
          <w:i/>
          <w:color w:val="57606A"/>
          <w:sz w:val="18"/>
        </w:rPr>
        <w:t xml:space="preserve">#09 Reusable rockets (Falcon 9 + Starship catch)  </w:t>
      </w:r>
    </w:p>
    <w:p>
      <w:pPr>
        <w:spacing w:after="80"/>
        <w:ind w:left="360"/>
      </w:pPr>
      <w:r>
        <w:rPr>
          <w:b/>
        </w:rPr>
        <w:t>NASA awards ~$590M to Astrobotic, Firefly, Intuitive Machines for Moon Base landers</w:t>
      </w:r>
      <w:r>
        <w:t xml:space="preserve"> — </w:t>
      </w:r>
      <w:r>
        <w:t>NASA selected Astrobotic ($297.9M, two deliveries), Firefly ($144.2M) and Intuitive Machines ($148.3M) for four CLPS lunar deliveries in late 2028 under the Moon Base program, using updated versions of already-flown lander designs (Jun 30).</w:t>
      </w:r>
      <w:r>
        <w:rPr>
          <w:color w:val="0969DA"/>
          <w:sz w:val="16"/>
        </w:rPr>
        <w:t xml:space="preserve">  (https://www.nasa.gov/news-release/nasa-awards-more-moon-base-science-previews-new-opportunities/)</w:t>
      </w:r>
    </w:p>
    <w:p>
      <w:pPr>
        <w:spacing w:after="40"/>
      </w:pPr>
      <w:r>
        <w:rPr>
          <w:b/>
          <w:color w:val="0969DA"/>
          <w:sz w:val="18"/>
        </w:rPr>
        <w:t xml:space="preserve">[New frontier result]  </w:t>
      </w:r>
      <w:r>
        <w:rPr>
          <w:i/>
          <w:color w:val="57606A"/>
          <w:sz w:val="18"/>
        </w:rPr>
        <w:t xml:space="preserve">#10 Renewables + battery cost collapse  </w:t>
      </w:r>
    </w:p>
    <w:p>
      <w:pPr>
        <w:spacing w:after="80"/>
        <w:ind w:left="360"/>
      </w:pPr>
      <w:r>
        <w:rPr>
          <w:b/>
        </w:rPr>
        <w:t>HZB/Humboldt set 25.5% world record for perovskite-CIGS tandem solar cell</w:t>
      </w:r>
      <w:r>
        <w:t xml:space="preserve"> — </w:t>
      </w:r>
      <w:r>
        <w:t>Helmholtz-Zentrum Berlin and Humboldt-Universität reported an ESTI-confirmed 25.5% perovskite-CIGS tandem cell (1 cm²), beating a May 2026 record of 25.17%; in-house designs have reportedly reached 27.5% (Jul 1).</w:t>
      </w:r>
      <w:r>
        <w:rPr>
          <w:color w:val="0969DA"/>
          <w:sz w:val="16"/>
        </w:rPr>
        <w:t xml:space="preserve">  (https://www.pv-magazine.com/2026/07/01/german-researchers-achieve-world-record-25-5-efficiency-for-perovskite-cigs-tandem-solar-cell/)</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NVIDIA rolls out fully liquid-cooled AI server design with near-zero water use</w:t>
      </w:r>
      <w:r>
        <w:t xml:space="preserve"> — </w:t>
      </w:r>
      <w:r>
        <w:t>NVIDIA's newest AI servers use closed-loop liquid cooling at up to 45°C supply temperature, eliminating evaporative water use; NVIDIA estimates a 50 MW facility could save &gt;$4M/year in cooling energy and water (Jun 22).</w:t>
      </w:r>
      <w:r>
        <w:rPr>
          <w:color w:val="0969DA"/>
          <w:sz w:val="16"/>
        </w:rPr>
        <w:t xml:space="preserve">  (https://blogs.nvidia.com/blog/liquid-cooling-ai-factories/)</w:t>
      </w:r>
      <w:r>
        <w:rPr>
          <w:color w:val="0969DA"/>
          <w:sz w:val="16"/>
        </w:rPr>
        <w:t xml:space="preserve">  (https://fortune.com/2026/06/22/nvidia-new-data-center-design-ai-water-problem-cooling/)</w:t>
      </w:r>
    </w:p>
    <w:p>
      <w:pPr>
        <w:spacing w:after="40"/>
      </w:pPr>
      <w:r>
        <w:rPr>
          <w:b/>
          <w:color w:val="0969DA"/>
          <w:sz w:val="18"/>
        </w:rPr>
        <w:t xml:space="preserve">[New frontier result]  </w:t>
      </w:r>
      <w:r>
        <w:rPr>
          <w:i/>
          <w:color w:val="57606A"/>
          <w:sz w:val="18"/>
        </w:rPr>
        <w:t xml:space="preserve">#09 Reusable rockets (Falcon 9 + Starship catch)  </w:t>
      </w:r>
    </w:p>
    <w:p>
      <w:pPr>
        <w:spacing w:after="80"/>
        <w:ind w:left="360"/>
      </w:pPr>
      <w:r>
        <w:rPr>
          <w:b/>
        </w:rPr>
        <w:t>SpaceX signals consumer Starlink mobile service backed by $17B spectrum</w:t>
      </w:r>
      <w:r>
        <w:t xml:space="preserve"> — </w:t>
      </w:r>
      <w:r>
        <w:t>At an IPO roadshow (Jun 26), SpaceX President Gwynne Shotwell told investors SpaceX plans a Starlink-branded consumer mobile service potentially building its own terrestrial network — leaning on its ~$17B EchoStar spectrum position — to challenge AT&amp;T, Verizon and T-Mobile.</w:t>
      </w:r>
      <w:r>
        <w:rPr>
          <w:color w:val="0969DA"/>
          <w:sz w:val="16"/>
        </w:rPr>
        <w:t xml:space="preserve">  (https://www.techtimes.com/articles/319177/20260627/starlink-mobile-coming-t-verizon-spacex-has-spectrum-still-needs-towers.htm)</w:t>
      </w:r>
    </w:p>
    <w:p>
      <w:pPr>
        <w:spacing w:after="40"/>
      </w:pPr>
      <w:r>
        <w:rPr>
          <w:b/>
          <w:color w:val="57606A"/>
          <w:sz w:val="18"/>
        </w:rPr>
        <w:t xml:space="preserve">[BROAD_SCAN]  </w:t>
      </w:r>
    </w:p>
    <w:p>
      <w:pPr>
        <w:spacing w:after="80"/>
        <w:ind w:left="360"/>
      </w:pPr>
      <w:r>
        <w:rPr>
          <w:b/>
        </w:rPr>
        <w:t>Rolls-Royce SMR opens UK Pioneer Works, wins Sweden export deal</w:t>
      </w:r>
      <w:r>
        <w:t xml:space="preserve"> — </w:t>
      </w:r>
      <w:r>
        <w:t>Rolls-Royce SMR opened its Pioneer Works manufacturing development centre in Derby (Jun 26-29) to de-risk fleet build for the UK/Czech/Sweden and was selected by a Swedish developer for a multibillion-pound SMR export deal — a concrete step toward fission SMR manufacturing at scale (an area the board does not yet track).</w:t>
      </w:r>
      <w:r>
        <w:rPr>
          <w:color w:val="0969DA"/>
          <w:sz w:val="16"/>
        </w:rPr>
        <w:t xml:space="preserve">  (https://www.rolls-royce-smr.com/)</w:t>
      </w:r>
    </w:p>
    <w:p>
      <w:pPr>
        <w:spacing w:after="40"/>
      </w:pPr>
      <w:r>
        <w:rPr>
          <w:b/>
          <w:color w:val="57606A"/>
          <w:sz w:val="18"/>
        </w:rPr>
        <w:t xml:space="preserve">[BROAD_SCAN]  </w:t>
      </w:r>
    </w:p>
    <w:p>
      <w:pPr>
        <w:spacing w:after="80"/>
        <w:ind w:left="360"/>
      </w:pPr>
      <w:r>
        <w:rPr>
          <w:b/>
        </w:rPr>
        <w:t>Trump signs twin executive orders on quantum computing and PQC migration</w:t>
      </w:r>
      <w:r>
        <w:t xml:space="preserve"> — </w:t>
      </w:r>
      <w:r>
        <w:t>On Jun 22 the President signed EO 14413 ('Ushering in the Next Frontier of Quantum Innovation'), directing a national push toward a scientifically useful quantum computer by 2028, plus a companion order accelerating federal post-quantum-cryptography migration (~2030-31).</w:t>
      </w:r>
      <w:r>
        <w:rPr>
          <w:color w:val="0969DA"/>
          <w:sz w:val="16"/>
        </w:rPr>
        <w:t xml:space="preserve">  (https://www.whitehouse.gov/presidential-actions/2026/06/ushering-in-the-next-frontier-of-quantum-innovation/)</w:t>
      </w:r>
    </w:p>
    <w:p>
      <w:pPr>
        <w:spacing w:after="40"/>
      </w:pPr>
      <w:r>
        <w:rPr>
          <w:b/>
          <w:color w:val="57606A"/>
          <w:sz w:val="18"/>
        </w:rPr>
        <w:t xml:space="preserve">[BROAD_SCAN]  </w:t>
      </w:r>
    </w:p>
    <w:p>
      <w:pPr>
        <w:spacing w:after="80"/>
        <w:ind w:left="360"/>
      </w:pPr>
      <w:r>
        <w:rPr>
          <w:b/>
        </w:rPr>
        <w:t>EU Parliament adopts Digital Omnibus, delaying AI Act high-risk rules to Dec 2027</w:t>
      </w:r>
      <w:r>
        <w:t xml:space="preserve"> — </w:t>
      </w:r>
      <w:r>
        <w:t>The European Parliament adopted the Digital Omnibus on AI (Jun 16), pushing Annex III high-risk obligations from Aug 2026 to Dec 2, 2027 and adding a ban on AI-generated non-consensual intimate imagery/CSAM; Council formal adoption expected shortly.</w:t>
      </w:r>
      <w:r>
        <w:rPr>
          <w:color w:val="0969DA"/>
          <w:sz w:val="16"/>
        </w:rPr>
        <w:t xml:space="preserve">  (https://datamatters.sidley.com/2026/06/22/eu-lawmakers-reach-provisional-agreement-to-delay-key-eu-ai-act-obligations/)</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Pickle Robot — trailer-unloading logistics robots (entity reconciliation)</w:t>
      </w:r>
      <w:r>
        <w:t xml:space="preserve"> — </w:t>
      </w:r>
      <w:r>
        <w:t>Named in the Ambi integration, Pickle Robot builds AI trailer-unloading arms for dock-door automation and is pushing toward robotic coverage of large numbers of dock doors; a notable warehouse-logistics player the board wasn't tracking.</w:t>
      </w:r>
      <w:r>
        <w:rPr>
          <w:color w:val="0969DA"/>
          <w:sz w:val="16"/>
        </w:rPr>
        <w:t xml:space="preserve">  (https://www.businesswire.com/news/home/20260630502727/en/Ambi-Robotics-and-Pickle-Robot-Deliver-Integrated-Physical-AI-Solution-to-Fully-Automate-Inbound-Logistics)</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Neuracle Technology — maker of China's NEO invasive BCI (entity reconciliation)</w:t>
      </w:r>
      <w:r>
        <w:t xml:space="preserve"> — </w:t>
      </w:r>
      <w:r>
        <w:t>Neuracle Technology (with Tsinghua) makes the NEO epidural BCI that became the first invasive BCI cleared for commercial use; a key implant player the board wasn't tracking.</w:t>
      </w:r>
      <w:r>
        <w:rPr>
          <w:color w:val="0969DA"/>
          <w:sz w:val="16"/>
        </w:rPr>
        <w:t xml:space="preserve">  (https://www.technologyreview.com/2026/06/01/1138133/china-world-first-brain-chip/)</w:t>
      </w:r>
    </w:p>
    <w:p>
      <w:pPr>
        <w:spacing w:after="40"/>
      </w:pPr>
      <w:r>
        <w:rPr>
          <w:b/>
          <w:color w:val="0E6E6F"/>
          <w:sz w:val="18"/>
        </w:rPr>
        <w:t xml:space="preserve">[New watch pick]  </w:t>
      </w:r>
      <w:r>
        <w:rPr>
          <w:i/>
          <w:color w:val="57606A"/>
          <w:sz w:val="18"/>
        </w:rPr>
        <w:t xml:space="preserve">#06 GLP-1 agonists  </w:t>
      </w:r>
    </w:p>
    <w:p>
      <w:pPr>
        <w:spacing w:after="80"/>
        <w:ind w:left="360"/>
      </w:pPr>
      <w:r>
        <w:rPr>
          <w:b/>
        </w:rPr>
        <w:t>Structure Therapeutics — oral small-molecule GLP-1 developer (entity reconciliation)</w:t>
      </w:r>
      <w:r>
        <w:t xml:space="preserve"> — </w:t>
      </w:r>
      <w:r>
        <w:t>Developer of aleniglipron, a once-daily oral small-molecule GLP-1 with phase 2b data now in Nature Medicine (up to 11.3% weight loss); a notable oral-GLP-1 player the board wasn't tracking as an entity.</w:t>
      </w:r>
      <w:r>
        <w:rPr>
          <w:color w:val="0969DA"/>
          <w:sz w:val="16"/>
        </w:rPr>
        <w:t xml:space="preserve">  (https://ir.structuretx.com/news-releases/news-release-details/structure-therapeutics-announces-publication-nature-medicine)</w:t>
      </w:r>
    </w:p>
    <w:p>
      <w:r>
        <w:br w:type="page"/>
      </w:r>
    </w:p>
    <w:p>
      <w:pPr>
        <w:pStyle w:val="Heading1"/>
      </w:pPr>
      <w:r>
        <w:t>Weekly history</w:t>
      </w:r>
    </w:p>
    <w:p>
      <w:r>
        <w:rPr>
          <w:i/>
        </w:rPr>
        <w:t>All 20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2026-07-03.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