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Big Ideas — Weekly Highlights</w:t>
      </w:r>
    </w:p>
    <w:p>
      <w:r>
        <w:rPr>
          <w:color w:val="57606A"/>
          <w:sz w:val="20"/>
        </w:rPr>
        <w:t>Tech breakthroughs tracker · as of 2026-05-22 · 15 breakthroughs · 8 weekly entries</w:t>
      </w:r>
    </w:p>
    <w:p/>
    <w:p>
      <w:pPr>
        <w:pStyle w:val="Heading1"/>
      </w:pPr>
      <w:r>
        <w:t>Latest run · week ending 2026-05-22</w:t>
      </w:r>
    </w:p>
    <w:p>
      <w:r>
        <w:rPr>
          <w:b/>
        </w:rPr>
        <w:t xml:space="preserve">Kind: </w:t>
      </w:r>
      <w:r>
        <w:t>WEEKLY_UPDATE</w:t>
      </w:r>
      <w:r>
        <w:t xml:space="preserve"> · </w:t>
      </w:r>
      <w:r>
        <w:rPr>
          <w:i/>
        </w:rPr>
        <w:t>Generated 2026-05-22T12:22:14</w:t>
      </w:r>
    </w:p>
    <w:p>
      <w:r>
        <w:rPr>
          <w:sz w:val="22"/>
        </w:rPr>
        <w:t>Google I/O dominated the AI week (May 19-20): Gemini 3.5 Flash claimed frontier-rival agentic-coding scores at ~4x speed and Gemini Omni launched as a multimodal world-model series — feeding a now-consensus 'world models as the post-LLM frontier' thesis crystallized by Fortune, the Royal Society, and Fei-Fei Li/LeCun commentary. Two more theses hit critical mass: Ben Thompson's 'two kinds of inference' (answer vs. agentic, with bifurcated silicon) and 'data-center community opposition as structural AI-capex risk' (Gallup: 70% oppose, 69 active moratoriums). Hardware and quantum saw an industrial-policy bombshell on May 21 — IBM + U.S. Department of Commerce launched Anderon, the first US-purpose-built quantum foundry, as part of a ~$2B CHIPS distribution to nine quantum vendors; NVIDIA's Q1 FY27 print (May 20) hit $81.6B revenue, confirmed Vera Rubin shipping Q3 2026, and tripled capital returns. In bio, Lilly's TRIUMPH-1 Phase 3 (May 21) put retatrutide at 28.3% mean weight loss at 80 weeks — the first injectable to reach bariatric-surgery-class loss in a pivotal trial — while a Baker-lab Nature review declared the core problems of de novo protein design 'close to solved' and Johns Hopkins reported sub-20-minute intraoperative BCI mapping with &gt;1,000-electrode micro-ECoG arrays. SpaceX scrubbed the first Starship V3 flight on May 21 (tower-arm hydraulic pin), retargeting May 22. Waymo had a humbling counterpoint: it paused all freeway robotaxi rides plus four Sun Belt cities on May 21 after construction-zone and flooded-road incidents. New voice added: Nathan Lambert (Interconnects, Ai2 post-training).</w:t>
      </w:r>
    </w:p>
    <w:p>
      <w:pPr>
        <w:spacing w:after="40"/>
      </w:pPr>
      <w:r>
        <w:rPr>
          <w:b/>
        </w:rPr>
        <w:t xml:space="preserve">  • New breakthroughs: </w:t>
      </w:r>
      <w:r>
        <w:t>0</w:t>
      </w:r>
    </w:p>
    <w:p>
      <w:pPr>
        <w:spacing w:after="40"/>
      </w:pPr>
      <w:r>
        <w:rPr>
          <w:b/>
        </w:rPr>
        <w:t xml:space="preserve">  • New sub-ideas: </w:t>
      </w:r>
      <w:r>
        <w:t>5</w:t>
      </w:r>
    </w:p>
    <w:p>
      <w:pPr>
        <w:spacing w:after="40"/>
      </w:pPr>
      <w:r>
        <w:rPr>
          <w:b/>
        </w:rPr>
        <w:t xml:space="preserve">  • New frontier results: </w:t>
      </w:r>
      <w:r>
        <w:t>5</w:t>
      </w:r>
    </w:p>
    <w:p>
      <w:pPr>
        <w:spacing w:after="40"/>
      </w:pPr>
      <w:r>
        <w:rPr>
          <w:b/>
        </w:rPr>
        <w:t xml:space="preserve">  • New watch picks: </w:t>
      </w:r>
      <w:r>
        <w:t>2</w:t>
      </w:r>
    </w:p>
    <w:p>
      <w:pPr>
        <w:spacing w:after="40"/>
      </w:pPr>
      <w:r>
        <w:rPr>
          <w:b/>
        </w:rPr>
        <w:t xml:space="preserve">  • New people: </w:t>
      </w:r>
      <w:r>
        <w:t>0</w:t>
      </w:r>
    </w:p>
    <w:p>
      <w:pPr>
        <w:spacing w:after="40"/>
      </w:pPr>
      <w:r>
        <w:rPr>
          <w:b/>
        </w:rPr>
        <w:t xml:space="preserve">  • Updated facts: </w:t>
      </w:r>
      <w:r>
        <w:t>6</w:t>
      </w:r>
    </w:p>
    <w:p>
      <w:pPr>
        <w:pStyle w:val="Heading2"/>
      </w:pPr>
      <w:r>
        <w:t>Highlights</w:t>
      </w:r>
    </w:p>
    <w:p>
      <w:pPr>
        <w:spacing w:after="40"/>
      </w:pPr>
      <w:r>
        <w:rPr>
          <w:b/>
          <w:color w:val="0969DA"/>
          <w:sz w:val="18"/>
        </w:rPr>
        <w:t xml:space="preserve">[New frontier result]  </w:t>
      </w:r>
      <w:r>
        <w:rPr>
          <w:i/>
          <w:color w:val="57606A"/>
          <w:sz w:val="18"/>
        </w:rPr>
        <w:t xml:space="preserve">#01 Transformers / LLMs / coding agents  </w:t>
      </w:r>
    </w:p>
    <w:p>
      <w:pPr>
        <w:spacing w:after="80"/>
        <w:ind w:left="360"/>
      </w:pPr>
      <w:r>
        <w:rPr>
          <w:b/>
        </w:rPr>
        <w:t>Gemini 3.5 Flash: frontier-rival agentic coding at ~4x speed</w:t>
      </w:r>
      <w:r>
        <w:t xml:space="preserve"> — </w:t>
      </w:r>
      <w:r>
        <w:t>At Google I/O on May 19, 2026, Google released Gemini 3.5 Flash, claiming it outperforms Gemini 3.1 Pro on coding/agentic benchmarks (Terminal-Bench 2.1 76.2%, MCP Atlas 83.6%) while running ~4x faster than other frontier models; available via Antigravity 2.0, Gemini API, and AI Studio.</w:t>
      </w:r>
      <w:r>
        <w:rPr>
          <w:color w:val="0969DA"/>
          <w:sz w:val="16"/>
        </w:rPr>
        <w:t xml:space="preserve">  (https://blog.google/innovation-and-ai/models-and-research/gemini-models/gemini-3-5/)</w:t>
      </w:r>
      <w:r>
        <w:rPr>
          <w:color w:val="0969DA"/>
          <w:sz w:val="16"/>
        </w:rPr>
        <w:t xml:space="preserve">  (https://techcrunch.com/2026/05/19/with-gemini-3-5-flash-google-bets-its-next-ai-wave-on-agents-not-chatbots/)</w:t>
      </w:r>
    </w:p>
    <w:p>
      <w:pPr>
        <w:spacing w:after="40"/>
      </w:pPr>
      <w:r>
        <w:rPr>
          <w:b/>
          <w:color w:val="6639BA"/>
          <w:sz w:val="18"/>
        </w:rPr>
        <w:t xml:space="preserve">[New sub-idea]  </w:t>
      </w:r>
      <w:r>
        <w:rPr>
          <w:i/>
          <w:color w:val="57606A"/>
          <w:sz w:val="18"/>
        </w:rPr>
        <w:t xml:space="preserve">#03 Diffusion models (image + video generation)  </w:t>
      </w:r>
    </w:p>
    <w:p>
      <w:pPr>
        <w:spacing w:after="80"/>
        <w:ind w:left="360"/>
      </w:pPr>
      <w:r>
        <w:rPr>
          <w:b/>
        </w:rPr>
        <w:t>Gemini Omni: world-grounded omni video generation</w:t>
      </w:r>
      <w:r>
        <w:t xml:space="preserve"> — </w:t>
      </w:r>
      <w:r>
        <w:t>At Google I/O on May 19, 2026, Google unveiled Gemini Omni, a series that fuses Gemini's reasoning with multimodal generation; Gemini Omni Flash accepts image/audio/video/text input and outputs video grounded in real-world physics knowledge, rolling out to Google AI Plus/Pro/Ultra via the Gemini app and Flow.</w:t>
      </w:r>
      <w:r>
        <w:rPr>
          <w:color w:val="0969DA"/>
          <w:sz w:val="16"/>
        </w:rPr>
        <w:t xml:space="preserve">  (https://blog.google/innovation-and-ai/technology/ai/google-io-2026-all-our-announcements/)</w:t>
      </w:r>
      <w:r>
        <w:rPr>
          <w:color w:val="0969DA"/>
          <w:sz w:val="16"/>
        </w:rPr>
        <w:t xml:space="preserve">  (https://www.cnbc.com/2026/05/19/google-ai-ultra-gemini-spark-omni.html)</w:t>
      </w:r>
    </w:p>
    <w:p>
      <w:pPr>
        <w:spacing w:after="40"/>
      </w:pPr>
      <w:r>
        <w:rPr>
          <w:b/>
          <w:color w:val="6639BA"/>
          <w:sz w:val="18"/>
        </w:rPr>
        <w:t xml:space="preserve">[New sub-idea]  </w:t>
      </w:r>
      <w:r>
        <w:rPr>
          <w:i/>
          <w:color w:val="57606A"/>
          <w:sz w:val="18"/>
        </w:rPr>
        <w:t xml:space="preserve">#02 RLHF + reasoning models (test-time compute scaling)  </w:t>
      </w:r>
    </w:p>
    <w:p>
      <w:pPr>
        <w:spacing w:after="80"/>
        <w:ind w:left="360"/>
      </w:pPr>
      <w:r>
        <w:rPr>
          <w:b/>
        </w:rPr>
        <w:t>Step-wise rubric rewards for RLVR (SRaR)</w:t>
      </w:r>
      <w:r>
        <w:t xml:space="preserve"> — </w:t>
      </w:r>
      <w:r>
        <w:t>An arXiv paper posted May 17, 2026 (2605.17291) shows that standard outcome- or response-level RLVR mis-credits ~18% of correct-final-answer steps and penalizes ~50% of correct steps in wrong-answer rollouts; SRaR attributes rubric items to specific reasoning steps and normalizes per-step rewards.</w:t>
      </w:r>
      <w:r>
        <w:rPr>
          <w:color w:val="0969DA"/>
          <w:sz w:val="16"/>
        </w:rPr>
        <w:t xml:space="preserve">  (https://arxiv.org/abs/2605.17291)</w:t>
      </w:r>
    </w:p>
    <w:p>
      <w:pPr>
        <w:spacing w:after="40"/>
      </w:pPr>
      <w:r>
        <w:rPr>
          <w:b/>
          <w:color w:val="6639BA"/>
          <w:sz w:val="18"/>
        </w:rPr>
        <w:t xml:space="preserve">[New sub-idea]  </w:t>
      </w:r>
      <w:r>
        <w:rPr>
          <w:i/>
          <w:color w:val="57606A"/>
          <w:sz w:val="18"/>
        </w:rPr>
        <w:t xml:space="preserve">#02 RLHF + reasoning models (test-time compute scaling)  </w:t>
      </w:r>
    </w:p>
    <w:p>
      <w:pPr>
        <w:spacing w:after="80"/>
        <w:ind w:left="360"/>
      </w:pPr>
      <w:r>
        <w:rPr>
          <w:b/>
        </w:rPr>
        <w:t>DelTA: token-level credit assignment for RLVR</w:t>
      </w:r>
      <w:r>
        <w:t xml:space="preserve"> — </w:t>
      </w:r>
      <w:r>
        <w:t>An arXiv paper posted May 20, 2026 (2605.21467) introduces DelTA, a discriminative method for assigning credit to individual tokens during reinforcement learning from verifiable rewards, targeting the long-standing sparse-reward problem in chain-of-thought RL.</w:t>
      </w:r>
      <w:r>
        <w:rPr>
          <w:color w:val="0969DA"/>
          <w:sz w:val="16"/>
        </w:rPr>
        <w:t xml:space="preserve">  (https://arxiv.org/abs/2605.21467)</w:t>
      </w:r>
    </w:p>
    <w:p>
      <w:pPr>
        <w:spacing w:after="40"/>
      </w:pPr>
      <w:r>
        <w:rPr>
          <w:b/>
          <w:color w:val="9A6700"/>
          <w:sz w:val="18"/>
        </w:rPr>
        <w:t xml:space="preserve">[Updated fact]  </w:t>
      </w:r>
      <w:r>
        <w:rPr>
          <w:i/>
          <w:color w:val="57606A"/>
          <w:sz w:val="18"/>
        </w:rPr>
        <w:t xml:space="preserve">#11 Self-driving cars / robotaxis  </w:t>
      </w:r>
    </w:p>
    <w:p>
      <w:pPr>
        <w:spacing w:after="80"/>
        <w:ind w:left="360"/>
      </w:pPr>
      <w:r>
        <w:rPr>
          <w:b/>
        </w:rPr>
        <w:t>Waymo pauses all freeway rides + 4 Sun Belt cities on safety</w:t>
      </w:r>
      <w:r>
        <w:t xml:space="preserve"> — </w:t>
      </w:r>
      <w:r>
        <w:t>On May 21, 2026, Waymo suspended all freeway robotaxi service in SF, LA, Phoenix, and Miami pending a software update for construction-zone handling, while also pausing service in Atlanta, Dallas, Houston, and San Antonio after vehicles entered flooded roadways.</w:t>
      </w:r>
      <w:r>
        <w:rPr>
          <w:color w:val="0969DA"/>
          <w:sz w:val="16"/>
        </w:rPr>
        <w:t xml:space="preserve">  (https://techcrunch.com/2026/05/21/waymo-halts-freeway-rides-after-robotaxis-struggle-in-construction-zones/)</w:t>
      </w:r>
      <w:r>
        <w:rPr>
          <w:color w:val="0969DA"/>
          <w:sz w:val="16"/>
        </w:rPr>
        <w:t xml:space="preserve">  (https://sfstandard.com/2026/05/21/waymo-suspends-all-freeway-rides-safety-issues/)</w:t>
      </w:r>
    </w:p>
    <w:p>
      <w:pPr>
        <w:spacing w:after="40"/>
      </w:pPr>
      <w:r>
        <w:rPr>
          <w:b/>
          <w:color w:val="9A6700"/>
          <w:sz w:val="18"/>
        </w:rPr>
        <w:t xml:space="preserve">[Updated fact]  </w:t>
      </w:r>
      <w:r>
        <w:rPr>
          <w:i/>
          <w:color w:val="57606A"/>
          <w:sz w:val="18"/>
        </w:rPr>
        <w:t xml:space="preserve">#06 GLP-1 agonists  </w:t>
      </w:r>
    </w:p>
    <w:p>
      <w:pPr>
        <w:spacing w:after="80"/>
        <w:ind w:left="360"/>
      </w:pPr>
      <w:r>
        <w:rPr>
          <w:b/>
        </w:rPr>
        <w:t>Retatrutide TRIUMPH-1 Phase 3: 28.3% weight loss at 80 weeks</w:t>
      </w:r>
      <w:r>
        <w:t xml:space="preserve"> — </w:t>
      </w:r>
      <w:r>
        <w:t>Eli Lilly announced May 21, 2026 that its triple GIP/GLP-1/glucagon agonist retatrutide met primary and key secondary endpoints in the 2,339-patient TRIUMPH-1 Phase 3 obesity trial. The 12 mg dose delivered ~28.3% mean weight loss at 80 weeks, with 45.3% of participants achieving &gt;=30% loss; BMI&gt;=35 subgroup reached 30.3% at 104 weeks.</w:t>
      </w:r>
      <w:r>
        <w:rPr>
          <w:color w:val="0969DA"/>
          <w:sz w:val="16"/>
        </w:rPr>
        <w:t xml:space="preserve">  (https://investor.lilly.com/news-releases/news-release-details/lillys-triple-agonist-retatrutide-delivered-powerful-weight-loss)</w:t>
      </w:r>
      <w:r>
        <w:rPr>
          <w:color w:val="0969DA"/>
          <w:sz w:val="16"/>
        </w:rPr>
        <w:t xml:space="preserve">  (https://www.ajmc.com/view/retatrutide-achieves-up-to-30-3-average-weight-loss-in-phase-3-triumph-1-trial)</w:t>
      </w:r>
    </w:p>
    <w:p>
      <w:pPr>
        <w:spacing w:after="40"/>
      </w:pPr>
      <w:r>
        <w:rPr>
          <w:b/>
          <w:color w:val="0969DA"/>
          <w:sz w:val="18"/>
        </w:rPr>
        <w:t xml:space="preserve">[New frontier result]  </w:t>
      </w:r>
      <w:r>
        <w:rPr>
          <w:i/>
          <w:color w:val="57606A"/>
          <w:sz w:val="18"/>
        </w:rPr>
        <w:t xml:space="preserve">#06 GLP-1 agonists  </w:t>
      </w:r>
    </w:p>
    <w:p>
      <w:pPr>
        <w:spacing w:after="80"/>
        <w:ind w:left="360"/>
      </w:pPr>
      <w:r>
        <w:rPr>
          <w:b/>
        </w:rPr>
        <w:t>Injectable GLP-1s reach bariatric-surgery-class weight loss</w:t>
      </w:r>
      <w:r>
        <w:t xml:space="preserve"> — </w:t>
      </w:r>
      <w:r>
        <w:t>TRIUMPH-1 marks the first Phase 3 obesity trial in which an injectable incretin agonist achieved a mean weight loss (28-30%) historically associated only with bariatric surgery, and crossed the 30% threshold in patients with higher baseline BMI. This shifts the long-term ceiling for pharmacological obesity treatment.</w:t>
      </w:r>
      <w:r>
        <w:rPr>
          <w:color w:val="0969DA"/>
          <w:sz w:val="16"/>
        </w:rPr>
        <w:t xml:space="preserve">  (https://www.bloomberg.com/news/articles/2026-05-21/lilly-s-experimental-shot-cuts-body-weight-by-28-in-study)</w:t>
      </w:r>
      <w:r>
        <w:rPr>
          <w:color w:val="0969DA"/>
          <w:sz w:val="16"/>
        </w:rPr>
        <w:t xml:space="preserve">  (https://www.ajmc.com/view/retatrutide-achieves-up-to-30-3-average-weight-loss-in-phase-3-triumph-1-trial)</w:t>
      </w:r>
    </w:p>
    <w:p>
      <w:pPr>
        <w:spacing w:after="40"/>
      </w:pPr>
      <w:r>
        <w:rPr>
          <w:b/>
          <w:color w:val="6639BA"/>
          <w:sz w:val="18"/>
        </w:rPr>
        <w:t xml:space="preserve">[New sub-idea]  </w:t>
      </w:r>
      <w:r>
        <w:rPr>
          <w:i/>
          <w:color w:val="57606A"/>
          <w:sz w:val="18"/>
        </w:rPr>
        <w:t xml:space="preserve">#14 Brain-computer interfaces  </w:t>
      </w:r>
    </w:p>
    <w:p>
      <w:pPr>
        <w:spacing w:after="80"/>
        <w:ind w:left="360"/>
      </w:pPr>
      <w:r>
        <w:rPr>
          <w:b/>
        </w:rPr>
        <w:t>Sub-20-minute intraoperative BCI mapping with &gt;1,000 micro-ECoG electrodes</w:t>
      </w:r>
      <w:r>
        <w:t xml:space="preserve"> — </w:t>
      </w:r>
      <w:r>
        <w:t>Johns Hopkins researchers reported (May 2026) testing a high-density micro-ECoG BCI array with &gt;1,000 electrodes implanted during craniotomies in four patients; the system mapped neural activity, decoded four words, and enabled cursor control, with electrode-to-decode setup completed in under 20 minutes vs prior days/weeks.</w:t>
      </w:r>
      <w:r>
        <w:rPr>
          <w:color w:val="0969DA"/>
          <w:sz w:val="16"/>
        </w:rPr>
        <w:t xml:space="preserve">  (https://www.hopkinsmedicine.org/news/articles/2026/05/investigators-test-new-brain-computer-interface)</w:t>
      </w:r>
    </w:p>
    <w:p>
      <w:pPr>
        <w:spacing w:after="40"/>
      </w:pPr>
      <w:r>
        <w:rPr>
          <w:b/>
          <w:color w:val="9A6700"/>
          <w:sz w:val="18"/>
        </w:rPr>
        <w:t xml:space="preserve">[Updated fact]  </w:t>
      </w:r>
      <w:r>
        <w:rPr>
          <w:i/>
          <w:color w:val="57606A"/>
          <w:sz w:val="18"/>
        </w:rPr>
        <w:t xml:space="preserve">#14 Brain-computer interfaces  </w:t>
      </w:r>
    </w:p>
    <w:p>
      <w:pPr>
        <w:spacing w:after="80"/>
        <w:ind w:left="360"/>
      </w:pPr>
      <w:r>
        <w:rPr>
          <w:b/>
        </w:rPr>
        <w:t>Neuralink R1 can now target any brain region (motor + non-motor)</w:t>
      </w:r>
      <w:r>
        <w:t xml:space="preserve"> — </w:t>
      </w:r>
      <w:r>
        <w:t>Neuralink confirmed via follow-on coverage through May 20, 2026 that its next-generation surgical robot can place electrode threads in virtually any cortical or sub-cortical region, threads pass directly through the dura, and the system compensates in real time for cardiac/respiratory brain motion — expanding indications beyond motor cortex toward Parkinson's, refractory epilepsy, and depression.</w:t>
      </w:r>
      <w:r>
        <w:rPr>
          <w:color w:val="0969DA"/>
          <w:sz w:val="16"/>
        </w:rPr>
        <w:t xml:space="preserve">  (https://www.techtimes.com/articles/316912/20260520/neuralink-robot-reaches-any-brain-region-parkinsons-epilepsy-depression-now-within-surgical.htm)</w:t>
      </w:r>
    </w:p>
    <w:p>
      <w:pPr>
        <w:spacing w:after="40"/>
      </w:pPr>
      <w:r>
        <w:rPr>
          <w:b/>
          <w:color w:val="0969DA"/>
          <w:sz w:val="18"/>
        </w:rPr>
        <w:t xml:space="preserve">[New frontier result]  </w:t>
      </w:r>
      <w:r>
        <w:rPr>
          <w:i/>
          <w:color w:val="57606A"/>
          <w:sz w:val="18"/>
        </w:rPr>
        <w:t xml:space="preserve">#04 AlphaFold + computational protein design  </w:t>
      </w:r>
    </w:p>
    <w:p>
      <w:pPr>
        <w:spacing w:after="80"/>
        <w:ind w:left="360"/>
      </w:pPr>
      <w:r>
        <w:rPr>
          <w:b/>
        </w:rPr>
        <w:t>Baker lab Nature review: core de novo protein design 'close to solved'</w:t>
      </w:r>
      <w:r>
        <w:t xml:space="preserve"> — </w:t>
      </w:r>
      <w:r>
        <w:t>A May 2026 Nature review (Yang et al., 'The past, present and future of de novo protein design', Vol 652) from the Baker lab argues that long-standing problems of designing new protein structures, assemblies, and binders are close to solved with deep-learning tools, and that the field's central question has shifted from 'how to design' to 'what to design' — catalysts for high-barrier reactions, switches, nanomachines.</w:t>
      </w:r>
      <w:r>
        <w:rPr>
          <w:color w:val="0969DA"/>
          <w:sz w:val="16"/>
        </w:rPr>
        <w:t xml:space="preserve">  (https://www.nature.com/articles/s41586-026-10328-7)</w:t>
      </w:r>
    </w:p>
    <w:p>
      <w:pPr>
        <w:spacing w:after="40"/>
      </w:pPr>
      <w:r>
        <w:rPr>
          <w:b/>
          <w:color w:val="0E6E6F"/>
          <w:sz w:val="18"/>
        </w:rPr>
        <w:t xml:space="preserve">[New watch pick]  </w:t>
      </w:r>
      <w:r>
        <w:rPr>
          <w:i/>
          <w:color w:val="57606A"/>
          <w:sz w:val="18"/>
        </w:rPr>
        <w:t xml:space="preserve">#04 AlphaFold + computational protein design  </w:t>
      </w:r>
    </w:p>
    <w:p>
      <w:pPr>
        <w:spacing w:after="80"/>
        <w:ind w:left="360"/>
      </w:pPr>
      <w:r>
        <w:rPr>
          <w:b/>
        </w:rPr>
        <w:t>Scribe Therapeutics — engineered CRISPR + AI guide design (DeepXE)</w:t>
      </w:r>
      <w:r>
        <w:t xml:space="preserve"> — </w:t>
      </w:r>
      <w:r>
        <w:t>At ASGCT 2026 (May 11-15, Boston), Scribe Therapeutics presented preclinical data showing its allosteric epigenetic repressors (ELXR) reduce off-target transcriptional effects 10-100x vs. baseline, and unveiled DeepXE, an AI model for selecting potent guide RNAs for its X-Editor (XE) platform — positioning Scribe at the intersection of CRISPR engineering and AI-driven protein/guide design.</w:t>
      </w:r>
      <w:r>
        <w:rPr>
          <w:color w:val="0969DA"/>
          <w:sz w:val="16"/>
        </w:rPr>
        <w:t xml:space="preserve">  (https://www.biospace.com/press-releases/scribe-therapeutics-reports-preclinical-data-at-asgct-2026-demonstrating-enhanced-potency-and-specificity-of-engineered-crispr-technologies-for-epigenetic-silencing-and-gene-editing)</w:t>
      </w:r>
    </w:p>
    <w:p>
      <w:pPr>
        <w:spacing w:after="40"/>
      </w:pPr>
      <w:r>
        <w:rPr>
          <w:b/>
          <w:color w:val="9A6700"/>
          <w:sz w:val="18"/>
        </w:rPr>
        <w:t xml:space="preserve">[Updated fact]  </w:t>
      </w:r>
      <w:r>
        <w:rPr>
          <w:i/>
          <w:color w:val="57606A"/>
          <w:sz w:val="18"/>
        </w:rPr>
        <w:t xml:space="preserve">#15 AI accelerators / advanced compute  </w:t>
      </w:r>
    </w:p>
    <w:p>
      <w:pPr>
        <w:spacing w:after="80"/>
        <w:ind w:left="360"/>
      </w:pPr>
      <w:r>
        <w:rPr>
          <w:b/>
        </w:rPr>
        <w:t>NVIDIA Q1 FY27: $81.6B revenue, Vera Rubin ships Q3 2026</w:t>
      </w:r>
      <w:r>
        <w:t xml:space="preserve"> — </w:t>
      </w:r>
      <w:r>
        <w:t>NVIDIA reported record Q1 FY27 revenue of $81.6B (up 85% YoY) with Data Center revenue at $75.2B on May 20, 2026, and confirmed initial Vera Rubin platform shipments in Q3 2026 with volume ramp in Q4. Guidance for Q2 FY27 was $91.0B +/- 2%.</w:t>
      </w:r>
      <w:r>
        <w:rPr>
          <w:color w:val="0969DA"/>
          <w:sz w:val="16"/>
        </w:rPr>
        <w:t xml:space="preserve">  (https://www.sec.gov/Archives/edgar/data/0001045810/000104581026000051/q1fy27pr.htm)</w:t>
      </w:r>
      <w:r>
        <w:rPr>
          <w:color w:val="0969DA"/>
          <w:sz w:val="16"/>
        </w:rPr>
        <w:t xml:space="preserve">  (https://wccftech.com/nvidia-confirms-vera-rubin-launch-in-q3-volume-ramp-q4-blackwell-continues-to-see-massive-demand/)</w:t>
      </w:r>
    </w:p>
    <w:p>
      <w:pPr>
        <w:spacing w:after="40"/>
      </w:pPr>
      <w:r>
        <w:rPr>
          <w:b/>
          <w:color w:val="9A6700"/>
          <w:sz w:val="18"/>
        </w:rPr>
        <w:t xml:space="preserve">[Updated fact]  </w:t>
      </w:r>
      <w:r>
        <w:rPr>
          <w:i/>
          <w:color w:val="57606A"/>
          <w:sz w:val="18"/>
        </w:rPr>
        <w:t xml:space="preserve">#15 AI accelerators / advanced compute  </w:t>
      </w:r>
    </w:p>
    <w:p>
      <w:pPr>
        <w:spacing w:after="80"/>
        <w:ind w:left="360"/>
      </w:pPr>
      <w:r>
        <w:rPr>
          <w:b/>
        </w:rPr>
        <w:t>NVIDIA returns record $20B to shareholders, raises dividend 25x</w:t>
      </w:r>
      <w:r>
        <w:t xml:space="preserve"> — </w:t>
      </w:r>
      <w:r>
        <w:t>Alongside Q1 FY27 earnings on May 20, 2026, NVIDIA announced an additional $80B share repurchase authorization and raised its quarterly dividend from $0.01 to $0.25 per share — signaling AI-chip demand is producing structural FCF, not a cycle peak. Total capital returned to shareholders in Q1 reached a record $20B.</w:t>
      </w:r>
      <w:r>
        <w:rPr>
          <w:color w:val="0969DA"/>
          <w:sz w:val="16"/>
        </w:rPr>
        <w:t xml:space="preserve">  (https://www.stocktitan.net/news/NVDA/nvidia-announces-financial-results-for-first-quarter-fiscal-fq78amc9h84m.html)</w:t>
      </w:r>
    </w:p>
    <w:p>
      <w:pPr>
        <w:spacing w:after="40"/>
      </w:pPr>
      <w:r>
        <w:rPr>
          <w:b/>
          <w:color w:val="6639BA"/>
          <w:sz w:val="18"/>
        </w:rPr>
        <w:t xml:space="preserve">[New sub-idea]  </w:t>
      </w:r>
      <w:r>
        <w:rPr>
          <w:i/>
          <w:color w:val="57606A"/>
          <w:sz w:val="18"/>
        </w:rPr>
        <w:t xml:space="preserve">#10 Renewables + battery cost collapse  </w:t>
      </w:r>
    </w:p>
    <w:p>
      <w:pPr>
        <w:spacing w:after="80"/>
        <w:ind w:left="360"/>
      </w:pPr>
      <w:r>
        <w:rPr>
          <w:b/>
        </w:rPr>
        <w:t>Gotion launches Gnascent sodium-ion line at 261 Wh/kg</w:t>
      </w:r>
      <w:r>
        <w:t xml:space="preserve"> — </w:t>
      </w:r>
      <w:r>
        <w:t>On May 17, 2026, VW-backed Gotion High-Tech launched its sodium-ion battery brand Gnascent, with a high-energy cell reaching 261 Wh/kg and a storage cell rated &gt;20,000 cycles; GWh-scale production lines are running in Tangshan and Hefei with mass production starting Q4 2026.</w:t>
      </w:r>
      <w:r>
        <w:rPr>
          <w:color w:val="0969DA"/>
          <w:sz w:val="16"/>
        </w:rPr>
        <w:t xml:space="preserve">  (https://carnewschina.com/2026/05/17/volkswagen-backed-gotion-launches-gnascent-sodium-ion-battery-up-to-261-wh-kg-with-mass-production-ready/)</w:t>
      </w:r>
      <w:r>
        <w:rPr>
          <w:color w:val="0969DA"/>
          <w:sz w:val="16"/>
        </w:rPr>
        <w:t xml:space="preserve">  (https://www.battery-energy-storage-system.com/news/gotion-gnascent-sodium-ion-batteries.html)</w:t>
      </w:r>
    </w:p>
    <w:p>
      <w:pPr>
        <w:spacing w:after="40"/>
      </w:pPr>
      <w:r>
        <w:rPr>
          <w:b/>
          <w:color w:val="9A6700"/>
          <w:sz w:val="18"/>
        </w:rPr>
        <w:t xml:space="preserve">[Updated fact]  </w:t>
      </w:r>
      <w:r>
        <w:rPr>
          <w:i/>
          <w:color w:val="57606A"/>
          <w:sz w:val="18"/>
        </w:rPr>
        <w:t xml:space="preserve">#09 Reusable rockets (Falcon 9 + Starship catch)  </w:t>
      </w:r>
    </w:p>
    <w:p>
      <w:pPr>
        <w:spacing w:after="80"/>
        <w:ind w:left="360"/>
      </w:pPr>
      <w:r>
        <w:rPr>
          <w:b/>
        </w:rPr>
        <w:t>SpaceX scrubs first Starship V3 launch May 21 — retargets May 22</w:t>
      </w:r>
      <w:r>
        <w:t xml:space="preserve"> — </w:t>
      </w:r>
      <w:r>
        <w:t>SpaceX scrubbed the inaugural launch of Starship V3 (Flight 12) on May 21, 2026 due to a hydraulic pin issue on a tower arm during countdown; the flight retargeted to May 22. V3 features Raptor 3 engines, ~18 million lbs of thrust, first launch from Starbase Pad 2, and targets deployment of 22 Starlink simulators plus an in-space Raptor relight.</w:t>
      </w:r>
      <w:r>
        <w:rPr>
          <w:color w:val="0969DA"/>
          <w:sz w:val="16"/>
        </w:rPr>
        <w:t xml:space="preserve">  (https://www.space.com/news/live/spacex-starship-flight-12-launch-updates-may-21-2026)</w:t>
      </w:r>
      <w:r>
        <w:rPr>
          <w:color w:val="0969DA"/>
          <w:sz w:val="16"/>
        </w:rPr>
        <w:t xml:space="preserve">  (https://spaceflightnow.com/2026/05/21/live-coverage-spacex-to-launch-first-starship-version-3-rocket/)</w:t>
      </w:r>
    </w:p>
    <w:p>
      <w:pPr>
        <w:spacing w:after="40"/>
      </w:pPr>
      <w:r>
        <w:rPr>
          <w:b/>
          <w:color w:val="0E6E6F"/>
          <w:sz w:val="18"/>
        </w:rPr>
        <w:t xml:space="preserve">[New watch pick]  </w:t>
      </w:r>
      <w:r>
        <w:rPr>
          <w:i/>
          <w:color w:val="57606A"/>
          <w:sz w:val="18"/>
        </w:rPr>
        <w:t xml:space="preserve">#08 Quantum error correction (logical qubits below threshold)  </w:t>
      </w:r>
    </w:p>
    <w:p>
      <w:pPr>
        <w:spacing w:after="80"/>
        <w:ind w:left="360"/>
      </w:pPr>
      <w:r>
        <w:rPr>
          <w:b/>
        </w:rPr>
        <w:t>Anderon — first US purpose-built quantum chip foundry (IBM + DOC, $2B)</w:t>
      </w:r>
      <w:r>
        <w:t xml:space="preserve"> — </w:t>
      </w:r>
      <w:r>
        <w:t>On May 21, 2026, IBM and the U.S. Department of Commerce announced Anderon, America's first pure-play quantum wafer foundry, headquartered in Albany NY with a 300mm process line. IBM is contributing $1B in cash plus IP and staff; DOC is contributing $1B in proposed CHIPS Act incentives. Anderon will fabricate wafers for multiple quantum vendors.</w:t>
      </w:r>
      <w:r>
        <w:rPr>
          <w:color w:val="0969DA"/>
          <w:sz w:val="16"/>
        </w:rPr>
        <w:t xml:space="preserve">  (https://newsroom.ibm.com/ibm-and-u-s-department-of-commerce-announce-americas-first-purpose-built-quantum-foundry)</w:t>
      </w:r>
      <w:r>
        <w:rPr>
          <w:color w:val="0969DA"/>
          <w:sz w:val="16"/>
        </w:rPr>
        <w:t xml:space="preserve">  (https://thequantuminsider.com/2026/05/21/ibm-and-u-s-department-of-commerce-announce-proposed-1-billion-chips-award-to-fund-purpose-built-quantum-foundry/)</w:t>
      </w:r>
    </w:p>
    <w:p>
      <w:pPr>
        <w:spacing w:after="40"/>
      </w:pPr>
      <w:r>
        <w:rPr>
          <w:b/>
          <w:color w:val="0969DA"/>
          <w:sz w:val="18"/>
        </w:rPr>
        <w:t xml:space="preserve">[New frontier result]  </w:t>
      </w:r>
      <w:r>
        <w:rPr>
          <w:i/>
          <w:color w:val="57606A"/>
          <w:sz w:val="18"/>
        </w:rPr>
        <w:t xml:space="preserve">#08 Quantum error correction (logical qubits below threshold)  </w:t>
      </w:r>
    </w:p>
    <w:p>
      <w:pPr>
        <w:spacing w:after="80"/>
        <w:ind w:left="360"/>
      </w:pPr>
      <w:r>
        <w:rPr>
          <w:b/>
        </w:rPr>
        <w:t>$2B CHIPS distribution across 9 quantum hardware/foundry developers</w:t>
      </w:r>
      <w:r>
        <w:t xml:space="preserve"> — </w:t>
      </w:r>
      <w:r>
        <w:t>On May 21, 2026, the U.S. Department of Commerce announced ~$2.013B in proposed CHIPS Act awards across nine quantum hardware and foundry developers — including IBM/Anderon and GlobalFoundries' new Quantum Technology Solutions division (~$375M) — to build domestic multi-modality fabrication capacity. Quantum equity prices rallied sharply (IBM +4.6%, GFS +12%, D-Wave +33%, Rigetti +28%, Infleqtion +42%).</w:t>
      </w:r>
      <w:r>
        <w:rPr>
          <w:color w:val="0969DA"/>
          <w:sz w:val="16"/>
        </w:rPr>
        <w:t xml:space="preserve">  (https://www.gurufocus.com/news/8877199/quantum-computing-stocks-surge-after-us-government-funding-announcement)</w:t>
      </w:r>
      <w:r>
        <w:rPr>
          <w:color w:val="0969DA"/>
          <w:sz w:val="16"/>
        </w:rPr>
        <w:t xml:space="preserve">  (https://convergedigest.com/ibm-and-u-s-commerce-plan-2b-quantum-foundry-company-in-albany/)</w:t>
      </w:r>
    </w:p>
    <w:p>
      <w:pPr>
        <w:spacing w:after="40"/>
      </w:pPr>
      <w:r>
        <w:rPr>
          <w:b/>
          <w:color w:val="57606A"/>
          <w:sz w:val="18"/>
        </w:rPr>
        <w:t xml:space="preserve">[BROAD_SCAN]  </w:t>
      </w:r>
    </w:p>
    <w:p>
      <w:pPr>
        <w:spacing w:after="80"/>
        <w:ind w:left="360"/>
      </w:pPr>
      <w:r>
        <w:rPr>
          <w:b/>
        </w:rPr>
        <w:t>DOE awards $94M to eight companies for Gen III+ SMR deployment</w:t>
      </w:r>
      <w:r>
        <w:t xml:space="preserve"> — </w:t>
      </w:r>
      <w:r>
        <w:t>On May 15-18, 2026, the U.S. Department of Energy announced Tier 2 awards totaling over $94 million in cost-shared funding to eight U.S. companies to accelerate near-term deployment of Gen III+ light-water small modular reactors, targeting licensing, supply chain, and site-prep gaps.</w:t>
      </w:r>
      <w:r>
        <w:rPr>
          <w:color w:val="0969DA"/>
          <w:sz w:val="16"/>
        </w:rPr>
        <w:t xml:space="preserve">  (https://www.energy.gov/articles/energy-department-awards-94-million-american-companies-help-expedite-deployments-small)</w:t>
      </w:r>
      <w:r>
        <w:rPr>
          <w:color w:val="0969DA"/>
          <w:sz w:val="16"/>
        </w:rPr>
        <w:t xml:space="preserve">  (https://neutronbytes.com/2026/05/17/doe-awards-94-million-for-light-water-smrs/)</w:t>
      </w:r>
    </w:p>
    <w:p>
      <w:pPr>
        <w:spacing w:after="40"/>
      </w:pPr>
      <w:r>
        <w:rPr>
          <w:b/>
          <w:color w:val="57606A"/>
          <w:sz w:val="18"/>
        </w:rPr>
        <w:t xml:space="preserve">[TRENDING_IDEA]  </w:t>
      </w:r>
    </w:p>
    <w:p>
      <w:pPr>
        <w:spacing w:after="80"/>
        <w:ind w:left="360"/>
      </w:pPr>
      <w:r>
        <w:rPr>
          <w:b/>
        </w:rPr>
        <w:t>'Two kinds of inference' — answer vs. agentic compute bifurcation</w:t>
      </w:r>
      <w:r>
        <w:t xml:space="preserve"> — </w:t>
      </w:r>
      <w:r>
        <w:t>Ben Thompson's May 18-20 Stratechery pieces ('The Inference Shift', 'Shifting Alliances') named a framing — 'answer inference' vs 'agentic inference' demand different silicon — that was immediately echoed by Deloitte (2026 outlook), SDxCentral, and Crypto Briefing/NVIDIA coverage. Repeated by 4+ independent voices in-window.</w:t>
      </w:r>
      <w:r>
        <w:rPr>
          <w:color w:val="0969DA"/>
          <w:sz w:val="16"/>
        </w:rPr>
        <w:t xml:space="preserve">  (https://stratechery.com/2026/the-inference-shift/)</w:t>
      </w:r>
      <w:r>
        <w:rPr>
          <w:color w:val="0969DA"/>
          <w:sz w:val="16"/>
        </w:rPr>
        <w:t xml:space="preserve">  (https://stratechery.com/2026/shifting-alliances-in-a-changing-world/)</w:t>
      </w:r>
      <w:r>
        <w:rPr>
          <w:color w:val="0969DA"/>
          <w:sz w:val="16"/>
        </w:rPr>
        <w:t xml:space="preserve">  (https://www.deloitte.com/us/en/insights/topics/technology-management/tech-trends/2026/ai-infrastructure-compute-strategy.html)</w:t>
      </w:r>
      <w:r>
        <w:rPr>
          <w:color w:val="0969DA"/>
          <w:sz w:val="16"/>
        </w:rPr>
        <w:t xml:space="preserve">  (https://www.sdxcentral.com/analysis/ai-inferencing-will-define-2026-and-the-markets-wide-open/)</w:t>
      </w:r>
    </w:p>
    <w:p>
      <w:pPr>
        <w:spacing w:after="40"/>
      </w:pPr>
      <w:r>
        <w:rPr>
          <w:b/>
          <w:color w:val="57606A"/>
          <w:sz w:val="18"/>
        </w:rPr>
        <w:t xml:space="preserve">[TRENDING_IDEA]  </w:t>
      </w:r>
    </w:p>
    <w:p>
      <w:pPr>
        <w:spacing w:after="80"/>
        <w:ind w:left="360"/>
      </w:pPr>
      <w:r>
        <w:rPr>
          <w:b/>
        </w:rPr>
        <w:t>'World Models' as the post-LLM frontier — LeCun, Fei-Fei Li, DeepMind aligned</w:t>
      </w:r>
      <w:r>
        <w:t xml:space="preserve"> — </w:t>
      </w:r>
      <w:r>
        <w:t>Google I/O launched Gemini Omni (May 19-20) explicitly positioned as a 'world model' for video/physics; Fortune (May 20) ran a piece on 'Why the AI field's biggest names are betting billions on world models' citing Fei-Fei Li, LeCun, NVIDIA; Royal Society Phil Trans A special issue on world models published May 14; multiple commentary pieces echo the framing within the week.</w:t>
      </w:r>
      <w:r>
        <w:rPr>
          <w:color w:val="0969DA"/>
          <w:sz w:val="16"/>
        </w:rPr>
        <w:t xml:space="preserve">  (https://fortune.com/2026/05/20/physical-ai-world-models-research-nvidia-google-fei-fei-li-yann-lecun/)</w:t>
      </w:r>
      <w:r>
        <w:rPr>
          <w:color w:val="0969DA"/>
          <w:sz w:val="16"/>
        </w:rPr>
        <w:t xml:space="preserve">  (https://techstartups.com/2026/05/20/google-launches-gemini-3-5-flash-and-omni-world-model-at-i-o-2026-as-ai-race-with-openai-heats-up/)</w:t>
      </w:r>
      <w:r>
        <w:rPr>
          <w:color w:val="0969DA"/>
          <w:sz w:val="16"/>
        </w:rPr>
        <w:t xml:space="preserve">  (https://royalsocietypublishing.org/rsta/article/384/2320/20240533/481677/World-models-artificial-general-intelligence-and)</w:t>
      </w:r>
    </w:p>
    <w:p>
      <w:pPr>
        <w:spacing w:after="40"/>
      </w:pPr>
      <w:r>
        <w:rPr>
          <w:b/>
          <w:color w:val="57606A"/>
          <w:sz w:val="18"/>
        </w:rPr>
        <w:t xml:space="preserve">[TRENDING_IDEA]  </w:t>
      </w:r>
    </w:p>
    <w:p>
      <w:pPr>
        <w:spacing w:after="80"/>
        <w:ind w:left="360"/>
      </w:pPr>
      <w:r>
        <w:rPr>
          <w:b/>
        </w:rPr>
        <w:t>Data-center community opposition as structural AI-capex risk</w:t>
      </w:r>
      <w:r>
        <w:t xml:space="preserve"> — </w:t>
      </w:r>
      <w:r>
        <w:t>Five independent outlets in-window converged on the thesis that local data-center opposition is now a structural constraint on AI capex: Ben Thompson (Stratechery, May 18), Fortune (May 18), Washington Post (May 13, picked up through the week), Deseret News (May 16), and U.S. News (May 21). Gallup: 70% oppose; 69 active jurisdictional moratoriums.</w:t>
      </w:r>
      <w:r>
        <w:rPr>
          <w:color w:val="0969DA"/>
          <w:sz w:val="16"/>
        </w:rPr>
        <w:t xml:space="preserve">  (https://stratechery.com/2026/data-center-discontent-understanding-the-opposition-fixing-the-problem/)</w:t>
      </w:r>
      <w:r>
        <w:rPr>
          <w:color w:val="0969DA"/>
          <w:sz w:val="16"/>
        </w:rPr>
        <w:t xml:space="preserve">  (https://fortune.com/2026/05/18/communities-are-blocking-billions-in-data-centers-big-tech-has-wagered-1-trillion-otherwise/)</w:t>
      </w:r>
      <w:r>
        <w:rPr>
          <w:color w:val="0969DA"/>
          <w:sz w:val="16"/>
        </w:rPr>
        <w:t xml:space="preserve">  (https://www.deseret.com/business/2026/05/16/data-centers-bans-moratoriums-state-legislatures-citizen-opposition-initiatives-referendum-artificial-intelligence-water-sair-quality/)</w:t>
      </w:r>
      <w:r>
        <w:rPr>
          <w:color w:val="0969DA"/>
          <w:sz w:val="16"/>
        </w:rPr>
        <w:t xml:space="preserve">  (https://www.usnews.com/news/u-s-news-decision-points/articles/2026-05-21/polls-and-protests-show-americans-are-turning-on-data-centers)</w:t>
      </w:r>
    </w:p>
    <w:p>
      <w:pPr>
        <w:spacing w:after="40"/>
      </w:pPr>
      <w:r>
        <w:rPr>
          <w:b/>
          <w:color w:val="57606A"/>
          <w:sz w:val="18"/>
        </w:rPr>
        <w:t xml:space="preserve">[NEW_VOICE]  </w:t>
      </w:r>
    </w:p>
    <w:p>
      <w:pPr>
        <w:spacing w:after="80"/>
        <w:ind w:left="360"/>
      </w:pPr>
      <w:r>
        <w:rPr>
          <w:b/>
        </w:rPr>
        <w:t>Nathan Lambert (Interconnects, Ai2) — post-training &amp; open-model analyst</w:t>
      </w:r>
      <w:r>
        <w:t xml:space="preserve"> — </w:t>
      </w:r>
      <w:r>
        <w:t>Lambert (Ai2 senior research scientist, post-training lead) is being cited across the May 2026 AI commentary stack — Interconnects newsletter cleared 60K+ subscribers, podcast feed expanded, and his open-model trajectory pieces are now standard reference material. The most-cited 'next tier' AI voice on post-training and open weights.</w:t>
      </w:r>
      <w:r>
        <w:rPr>
          <w:color w:val="0969DA"/>
          <w:sz w:val="16"/>
        </w:rPr>
        <w:t xml:space="preserve">  (https://www.interconnects.ai/about)</w:t>
      </w:r>
      <w:r>
        <w:rPr>
          <w:color w:val="0969DA"/>
          <w:sz w:val="16"/>
        </w:rPr>
        <w:t xml:space="preserve">  (https://www.interconnects.ai/p/the-next-phase-of-open-models)</w:t>
      </w:r>
    </w:p>
    <w:p>
      <w:pPr>
        <w:spacing w:after="40"/>
      </w:pPr>
      <w:r>
        <w:rPr>
          <w:b/>
          <w:color w:val="0969DA"/>
          <w:sz w:val="18"/>
        </w:rPr>
        <w:t xml:space="preserve">[New frontier result]  </w:t>
      </w:r>
      <w:r>
        <w:rPr>
          <w:i/>
          <w:color w:val="57606A"/>
          <w:sz w:val="18"/>
        </w:rPr>
        <w:t xml:space="preserve">#08 Quantum error correction (logical qubits below threshold)  </w:t>
      </w:r>
    </w:p>
    <w:p>
      <w:pPr>
        <w:spacing w:after="80"/>
        <w:ind w:left="360"/>
      </w:pPr>
      <w:r>
        <w:rPr>
          <w:b/>
        </w:rPr>
        <w:t>Flatiron Institute laptop sim overturns D-Wave 'beyond-classical' claim</w:t>
      </w:r>
      <w:r>
        <w:t xml:space="preserve"> — </w:t>
      </w:r>
      <w:r>
        <w:t>Researchers at Simons Foundation's Flatiron Institute Center for Computational Quantum Physics and Boston University reported in Science (May 21, 2026) a tensor-network algorithm that classically simulates a 100-qubit highly-entangled dynamics problem on a laptop, refuting D-Wave's March 2025 Advantage2 'beyond-classical' computation milestone.</w:t>
      </w:r>
      <w:r>
        <w:rPr>
          <w:color w:val="0969DA"/>
          <w:sz w:val="16"/>
        </w:rPr>
        <w:t xml:space="preserve">  (https://www.simonsfoundation.org/2026/05/21/quantum-dynamics-breakthrough-overturns-claim-of-quantum-supremacy-opens-new-research-directions/)</w:t>
      </w:r>
      <w:r>
        <w:rPr>
          <w:color w:val="0969DA"/>
          <w:sz w:val="16"/>
        </w:rPr>
        <w:t xml:space="preserve">  (https://thequantuminsider.com/2026/05/22/quantum-dynamics-advance-overturns-claim-of-quantum-supremacy-opens-new-research-directions/)</w:t>
      </w:r>
      <w:r>
        <w:rPr>
          <w:color w:val="0969DA"/>
          <w:sz w:val="16"/>
        </w:rPr>
        <w:t xml:space="preserve">  (https://quantumcomputingreport.com/flatiron-institute-tensor-network-algorithm-overturns-historical-d-wave-quantum-supremacy-claim/)</w:t>
      </w:r>
    </w:p>
    <w:p>
      <w:r>
        <w:br w:type="page"/>
      </w:r>
    </w:p>
    <w:p>
      <w:pPr>
        <w:pStyle w:val="Heading1"/>
      </w:pPr>
      <w:r>
        <w:t>Weekly history</w:t>
      </w:r>
    </w:p>
    <w:p>
      <w:r>
        <w:rPr>
          <w:i/>
        </w:rPr>
        <w:t>All 8 entries (newest first). Each row aggregates the additions logged in state.json for that week.</w:t>
      </w:r>
    </w:p>
    <w:tbl>
      <w:tblPr>
        <w:tblStyle w:val="TableGrid"/>
        <w:tblW w:type="auto" w:w="0"/>
        <w:tblLook w:firstColumn="1" w:firstRow="1" w:lastColumn="0" w:lastRow="0" w:noHBand="0" w:noVBand="1" w:val="04A0"/>
      </w:tblPr>
      <w:tblGrid>
        <w:gridCol w:w="2340"/>
        <w:gridCol w:w="2340"/>
        <w:gridCol w:w="2340"/>
        <w:gridCol w:w="2340"/>
      </w:tblGrid>
      <w:tr>
        <w:tc>
          <w:tcPr>
            <w:tcW w:type="dxa" w:w="1440"/>
            <w:shd w:val="clear" w:color="auto" w:fill="0D1117"/>
          </w:tcPr>
          <w:p>
            <w:r/>
            <w:r>
              <w:rPr>
                <w:b/>
                <w:color w:val="FFFFFF"/>
                <w:sz w:val="18"/>
              </w:rPr>
              <w:t>Week ending</w:t>
            </w:r>
          </w:p>
        </w:tc>
        <w:tc>
          <w:tcPr>
            <w:tcW w:type="dxa" w:w="1440"/>
            <w:shd w:val="clear" w:color="auto" w:fill="0D1117"/>
          </w:tcPr>
          <w:p>
            <w:r/>
            <w:r>
              <w:rPr>
                <w:b/>
                <w:color w:val="FFFFFF"/>
                <w:sz w:val="18"/>
              </w:rPr>
              <w:t>Kind</w:t>
            </w:r>
          </w:p>
        </w:tc>
        <w:tc>
          <w:tcPr>
            <w:tcW w:type="dxa" w:w="4896"/>
            <w:shd w:val="clear" w:color="auto" w:fill="0D1117"/>
          </w:tcPr>
          <w:p>
            <w:r/>
            <w:r>
              <w:rPr>
                <w:b/>
                <w:color w:val="FFFFFF"/>
                <w:sz w:val="18"/>
              </w:rPr>
              <w:t>Summary</w:t>
            </w:r>
          </w:p>
        </w:tc>
        <w:tc>
          <w:tcPr>
            <w:tcW w:type="dxa" w:w="1584"/>
            <w:shd w:val="clear" w:color="auto" w:fill="0D1117"/>
          </w:tcPr>
          <w:p>
            <w:r/>
            <w:r>
              <w:rPr>
                <w:b/>
                <w:color w:val="FFFFFF"/>
                <w:sz w:val="18"/>
              </w:rPr>
              <w:t>Additions</w:t>
            </w:r>
          </w:p>
        </w:tc>
      </w:tr>
      <w:tr>
        <w:tc>
          <w:tcPr>
            <w:tcW w:type="dxa" w:w="1440"/>
          </w:tcPr>
          <w:p>
            <w:r>
              <w:rPr>
                <w:sz w:val="18"/>
              </w:rPr>
              <w:t>2026-05-22</w:t>
            </w:r>
          </w:p>
        </w:tc>
        <w:tc>
          <w:tcPr>
            <w:tcW w:type="dxa" w:w="1440"/>
          </w:tcPr>
          <w:p>
            <w:r>
              <w:rPr>
                <w:sz w:val="18"/>
              </w:rPr>
              <w:t>WEEKLY_UPDATE</w:t>
            </w:r>
          </w:p>
        </w:tc>
        <w:tc>
          <w:tcPr>
            <w:tcW w:type="dxa" w:w="4896"/>
          </w:tcPr>
          <w:p>
            <w:r>
              <w:rPr>
                <w:sz w:val="18"/>
              </w:rPr>
              <w:t>Google I/O dominated the AI week (May 19-20): Gemini 3.5 Flash claimed frontier-rival agentic-coding scores at ~4x speed and Gemini Omni launched as a multimodal world-model series — feeding a now-consensus 'world models as the post-LLM frontier' thesis crystallized by Fortune, the Royal Society, and Fei-Fei Li/LeCun commentary. Two more theses hit critical mass: Ben Thompson's 'two kinds of inference' (answer vs. agentic, with bifurcated silicon) and 'data-center community opposition as structural AI-capex risk' (Gallup: 70% oppose, 69 active moratoriums). Hardware and quantum saw an industrial-policy bombshell on May 21 — IBM + U.S. Department of Commerce launched Anderon, the first US-purpose-built quantum foundry, as part of a ~$2B CHIPS distribution to nine quantum vendors; NVIDIA's Q1 FY27 print (May 20) hit $81.6B revenue, confirmed Vera Rubin shipping Q3 2026, and tripled capital returns. In bio, Lilly's TRIUMPH-1 Phase 3 (May 21) put retatrutide at 28.3% mean weight loss at 80 weeks — the first injectable to reach bariatric-surgery-class loss in a pivotal trial — while a Baker-lab Nature review declared the core problems of de novo protein design 'close to solved' and Johns Hopkins reported sub-20-minute intraoperative BCI mapping with &gt;1,000-electrode micro-ECoG arrays. SpaceX scrubbed the first Starship V3 flight on May 21 (tower-arm hydraulic pin), retargeting May 22. Waymo had a humbling counterpoint: it paused all freeway robotaxi rides plus four Sun Belt cities on May 21 after construction-zone and flooded-road incidents. New voice added: Nathan Lambert (Interconnects, Ai2 post-training).</w:t>
            </w:r>
          </w:p>
        </w:tc>
        <w:tc>
          <w:tcPr>
            <w:tcW w:type="dxa" w:w="1584"/>
          </w:tcPr>
          <w:p>
            <w:r>
              <w:rPr>
                <w:sz w:val="18"/>
              </w:rPr>
              <w:t>+5 sub  +5 frt  +2 wch</w:t>
            </w:r>
          </w:p>
        </w:tc>
      </w:tr>
      <w:tr>
        <w:tc>
          <w:tcPr>
            <w:tcW w:type="dxa" w:w="1440"/>
          </w:tcPr>
          <w:p>
            <w:r>
              <w:rPr>
                <w:sz w:val="18"/>
              </w:rPr>
              <w:t>2026-05-18</w:t>
            </w:r>
          </w:p>
        </w:tc>
        <w:tc>
          <w:tcPr>
            <w:tcW w:type="dxa" w:w="1440"/>
          </w:tcPr>
          <w:p>
            <w:r>
              <w:rPr>
                <w:sz w:val="18"/>
              </w:rPr>
              <w:t>BASE_RUN</w:t>
            </w:r>
          </w:p>
        </w:tc>
        <w:tc>
          <w:tcPr>
            <w:tcW w:type="dxa" w:w="4896"/>
          </w:tcPr>
          <w:p>
            <w:r>
              <w:rPr>
                <w:sz w:val="18"/>
              </w:rPr>
              <w:t>Seeded 'voices' section with 16 curated thinkers across AI, bio, energy, space, and macro tech.</w:t>
            </w:r>
          </w:p>
        </w:tc>
        <w:tc>
          <w:tcPr>
            <w:tcW w:type="dxa" w:w="1584"/>
          </w:tcPr>
          <w:p>
            <w:r>
              <w:rPr>
                <w:sz w:val="18"/>
              </w:rPr>
              <w:t>—</w:t>
            </w:r>
          </w:p>
        </w:tc>
      </w:tr>
      <w:tr>
        <w:tc>
          <w:tcPr>
            <w:tcW w:type="dxa" w:w="1440"/>
          </w:tcPr>
          <w:p>
            <w:r>
              <w:rPr>
                <w:sz w:val="18"/>
              </w:rPr>
              <w:t>2026-05-15</w:t>
            </w:r>
          </w:p>
        </w:tc>
        <w:tc>
          <w:tcPr>
            <w:tcW w:type="dxa" w:w="1440"/>
          </w:tcPr>
          <w:p>
            <w:r>
              <w:rPr>
                <w:sz w:val="18"/>
              </w:rPr>
              <w:t>WEEKLY_UPDATE</w:t>
            </w:r>
          </w:p>
        </w:tc>
        <w:tc>
          <w:tcPr>
            <w:tcW w:type="dxa" w:w="4896"/>
          </w:tcPr>
          <w:p>
            <w:r>
              <w:rPr>
                <w:sz w:val="18"/>
              </w:rPr>
              <w:t>Heavy commercialization week across bio and AI infrastructure. In bio: Isomorphic Labs closed a $2.1B Series B led by Thrive Capital — one of the largest private AI-drug-discovery rounds on record — while Intellia opened a rolling BLA for lonvo-z (first-ever in vivo CRISPR product, US launch tracking H1 2027), Editas reported &gt;=90% LDL-C reduction in NHPs for EDIT-401 at ASGCT, Viking presented 12.2% 13-week weight loss for oral VK2735 at ECO 2026, and Neuralink signaled a next-gen 'whole-brain' surgical robot. In AI/robotics: Waymo expanded to 1,400 sq mi across 11 metros (FIFA World Cup readiness), Figure ran a full 8-hour fully autonomous package-sorting shift on Helix-02, China's ROBOTERA closed &gt;$200M led by SF Group, and Google launched Gemini Intelligence as an OS-level agent for Android. Energy/quantum: CATL announced a 40 GWh sodium-ion expansion, BNEF confirmed energy storage entered the '100 GW era' in 2025, Ford launched a 20 GWh/yr LFP grid-storage subsidiary, IonQ shareholders approved the $1.8B SkyWater acquisition, and Google added Marvell as a third TPU partner targeting ~2M inference MPUs. Agent D flagged three adjacencies: Archer's UAE Restricted Type Certificate path (first eVTOL on this pathway), the EU AI Act omnibus simplification (and nudification ban), and an HKU ultra-stainless-steel claim that could cut seawater-electrolysis structural costs ~40x.</w:t>
            </w:r>
          </w:p>
        </w:tc>
        <w:tc>
          <w:tcPr>
            <w:tcW w:type="dxa" w:w="1584"/>
          </w:tcPr>
          <w:p>
            <w:r>
              <w:rPr>
                <w:sz w:val="18"/>
              </w:rPr>
              <w:t>+2 sub  +2 frt  +3 wch</w:t>
            </w:r>
          </w:p>
        </w:tc>
      </w:tr>
      <w:tr>
        <w:tc>
          <w:tcPr>
            <w:tcW w:type="dxa" w:w="1440"/>
          </w:tcPr>
          <w:p>
            <w:r>
              <w:rPr>
                <w:sz w:val="18"/>
              </w:rPr>
              <w:t>2026-05-08</w:t>
            </w:r>
          </w:p>
        </w:tc>
        <w:tc>
          <w:tcPr>
            <w:tcW w:type="dxa" w:w="1440"/>
          </w:tcPr>
          <w:p>
            <w:r>
              <w:rPr>
                <w:sz w:val="18"/>
              </w:rPr>
              <w:t>WEEKLY_UPDATE</w:t>
            </w:r>
          </w:p>
        </w:tc>
        <w:tc>
          <w:tcPr>
            <w:tcW w:type="dxa" w:w="4896"/>
          </w:tcPr>
          <w:p>
            <w:r>
              <w:rPr>
                <w:sz w:val="18"/>
              </w:rPr>
              <w:t>Intra-day supplement to the morning's run: three primary-source items the AM scan missed. Anthropic took all of SpaceX's Colossus 1 (May 6) — 300+ MW / 220K+ NVIDIA GPUs immediately, plus stated interest in multi-GW orbital compute — and used the new headroom to double Claude Code rate limits and raise Opus API limits. Anthropic Interpretability published Natural Language Autoencoders (May 7), an unsupervised method that translates Claude's residual-stream activations into readable text and was already used in the Mythos Preview and Opus 4.6 alignment audits. OpenAI opened GPT-5.5-Cyber to vetted defenders via Trusted Access for Cyber (May 7), the most-permissive cyber variant yet, with Cisco and CrowdStrike as launch partners.</w:t>
            </w:r>
          </w:p>
        </w:tc>
        <w:tc>
          <w:tcPr>
            <w:tcW w:type="dxa" w:w="1584"/>
          </w:tcPr>
          <w:p>
            <w:r>
              <w:rPr>
                <w:sz w:val="18"/>
              </w:rPr>
              <w:t>+1 sub  +2 frt</w:t>
            </w:r>
          </w:p>
        </w:tc>
      </w:tr>
      <w:tr>
        <w:tc>
          <w:tcPr>
            <w:tcW w:type="dxa" w:w="1440"/>
          </w:tcPr>
          <w:p>
            <w:r>
              <w:rPr>
                <w:sz w:val="18"/>
              </w:rPr>
              <w:t>2026-05-08</w:t>
            </w:r>
          </w:p>
        </w:tc>
        <w:tc>
          <w:tcPr>
            <w:tcW w:type="dxa" w:w="1440"/>
          </w:tcPr>
          <w:p>
            <w:r>
              <w:rPr>
                <w:sz w:val="18"/>
              </w:rPr>
              <w:t>WEEKLY_UPDATE</w:t>
            </w:r>
          </w:p>
        </w:tc>
        <w:tc>
          <w:tcPr>
            <w:tcW w:type="dxa" w:w="4896"/>
          </w:tcPr>
          <w:p>
            <w:r>
              <w:rPr>
                <w:sz w:val="18"/>
              </w:rPr>
              <w:t>Heavy week across AI infra, AI hardware, quantum, and bio. OpenAI shipped GPT-5.5 Instant (52.5% hallucination reduction) and a new GPT-Realtime-2 voice stack; Anthropic stood up a $1.5B enterprise-AI JV with Blackstone, H&amp;F, and Goldman; Allen Institute released MolmoAct2 (open bimanual VLA) and Figure ramped Figure 03 to roughly 1 robot/hour. Cerebras filed for a $26.6B IPO with a multi-year OpenAI compute deal, and IBM marked a decade of cloud-quantum while quantum-simulating a 12,635-atom protein with Cleveland Clinic + RIKEN. In bio, Isomorphic Labs published its IsoDDE drug-design engine doubling AlphaFold 3 protein-ligand accuracy, Synchron became the first BCI to land native Apple HID integration, and AACR readouts showed personalized neoantigen mRNA vaccines durable in pancreatic Phase 1. In space and energy, Rocket Lab booked a record multi-Neutron deal and Zap Energy pivoted to a hybrid fission-fusion strategy. Agent D's broad scan returned a Joby Manhattan eVTOL demo and Fervo's $1.33B geothermal IPO filing.</w:t>
            </w:r>
          </w:p>
        </w:tc>
        <w:tc>
          <w:tcPr>
            <w:tcW w:type="dxa" w:w="1584"/>
          </w:tcPr>
          <w:p>
            <w:r>
              <w:rPr>
                <w:sz w:val="18"/>
              </w:rPr>
              <w:t>+3 sub  +5 frt  +3 wch</w:t>
            </w:r>
          </w:p>
        </w:tc>
      </w:tr>
      <w:tr>
        <w:tc>
          <w:tcPr>
            <w:tcW w:type="dxa" w:w="1440"/>
          </w:tcPr>
          <w:p>
            <w:r>
              <w:rPr>
                <w:sz w:val="18"/>
              </w:rPr>
              <w:t>2026-05-08</w:t>
            </w:r>
          </w:p>
        </w:tc>
        <w:tc>
          <w:tcPr>
            <w:tcW w:type="dxa" w:w="1440"/>
          </w:tcPr>
          <w:p>
            <w:r>
              <w:rPr>
                <w:sz w:val="18"/>
              </w:rPr>
              <w:t>WEEKLY_UPDATE</w:t>
            </w:r>
          </w:p>
        </w:tc>
        <w:tc>
          <w:tcPr>
            <w:tcW w:type="dxa" w:w="4896"/>
          </w:tcPr>
          <w:p>
            <w:r>
              <w:rPr>
                <w:sz w:val="18"/>
              </w:rPr>
              <w:t>Quietly busy week dominated by AI-tooling, quantum, and clinical-bio progress. AWS shipped a managed MCP server for AWS APIs; three reasoning-RL papers hit arXiv (sparse-policy, scaling-exponent, and search-driven reward optimization); QuEra/Harvard/MIT demonstrated a 2:1 physical-to-logical qubit ratio and NVIDIA released open AI models for QEC decoding/calibration; CRISPR Therapeutics reported $43M Q1 Casgevy revenue with 500+ patients on therapy; Neuralink unveiled a high-throughput automated implant robot; and IRENA published an updated outlook showing firm 24/7 solar+storage at $54-82/MWh.</w:t>
            </w:r>
          </w:p>
        </w:tc>
        <w:tc>
          <w:tcPr>
            <w:tcW w:type="dxa" w:w="1584"/>
          </w:tcPr>
          <w:p>
            <w:r>
              <w:rPr>
                <w:sz w:val="18"/>
              </w:rPr>
              <w:t>+3 sub  +6 frt</w:t>
            </w:r>
          </w:p>
        </w:tc>
      </w:tr>
      <w:tr>
        <w:tc>
          <w:tcPr>
            <w:tcW w:type="dxa" w:w="1440"/>
          </w:tcPr>
          <w:p>
            <w:r>
              <w:rPr>
                <w:sz w:val="18"/>
              </w:rPr>
              <w:t>2026-05-08</w:t>
            </w:r>
          </w:p>
        </w:tc>
        <w:tc>
          <w:tcPr>
            <w:tcW w:type="dxa" w:w="1440"/>
          </w:tcPr>
          <w:p>
            <w:r>
              <w:rPr>
                <w:sz w:val="18"/>
              </w:rPr>
              <w:t>BASE_RUN</w:t>
            </w:r>
          </w:p>
        </w:tc>
        <w:tc>
          <w:tcPr>
            <w:tcW w:type="dxa" w:w="4896"/>
          </w:tcPr>
          <w:p>
            <w:r>
              <w:rPr>
                <w:sz w:val="18"/>
              </w:rPr>
              <w:t>Base set extended from 11 to 15 breakthroughs: added humanoid robotics (#12), fusion energy (#13), brain-computer interfaces (#14), AI accelerators / advanced compute (#15). Two new domains introduced (ROBOTICS, HARDWARE).</w:t>
            </w:r>
          </w:p>
        </w:tc>
        <w:tc>
          <w:tcPr>
            <w:tcW w:type="dxa" w:w="1584"/>
          </w:tcPr>
          <w:p>
            <w:r>
              <w:rPr>
                <w:sz w:val="18"/>
              </w:rPr>
              <w:t>+4 brk</w:t>
            </w:r>
          </w:p>
        </w:tc>
      </w:tr>
      <w:tr>
        <w:tc>
          <w:tcPr>
            <w:tcW w:type="dxa" w:w="1440"/>
          </w:tcPr>
          <w:p>
            <w:r>
              <w:rPr>
                <w:sz w:val="18"/>
              </w:rPr>
              <w:t>2026-05-08</w:t>
            </w:r>
          </w:p>
        </w:tc>
        <w:tc>
          <w:tcPr>
            <w:tcW w:type="dxa" w:w="1440"/>
          </w:tcPr>
          <w:p>
            <w:r>
              <w:rPr>
                <w:sz w:val="18"/>
              </w:rPr>
              <w:t>BASE_RUN</w:t>
            </w:r>
          </w:p>
        </w:tc>
        <w:tc>
          <w:tcPr>
            <w:tcW w:type="dxa" w:w="4896"/>
          </w:tcPr>
          <w:p>
            <w:r>
              <w:rPr>
                <w:sz w:val="18"/>
              </w:rPr>
              <w:t>Initial base-truth capture across 11 breakthroughs: 62 named people, 56 sub-ideas, 55 frontier bullets, 39 watch-list picks, 150 unique source URLs.</w:t>
            </w:r>
          </w:p>
        </w:tc>
        <w:tc>
          <w:tcPr>
            <w:tcW w:type="dxa" w:w="1584"/>
          </w:tcPr>
          <w:p>
            <w:r>
              <w:rPr>
                <w:sz w:val="18"/>
              </w:rPr>
              <w:t>+11 brk</w:t>
            </w:r>
          </w:p>
        </w:tc>
      </w:tr>
    </w:tbl>
    <w:p>
      <w:r>
        <w:br w:type="page"/>
      </w:r>
    </w:p>
    <w:p>
      <w:pPr>
        <w:pStyle w:val="Heading1"/>
      </w:pPr>
      <w:r>
        <w:t>Current snapshot — by breakthrough</w:t>
      </w:r>
    </w:p>
    <w:p>
      <w:r>
        <w:t>Snapshot of state.json as of 2026-05-22. Each breakthrough lists current sub-ideas and most recent watch pick.</w:t>
      </w:r>
    </w:p>
    <w:p>
      <w:r>
        <w:rPr>
          <w:b/>
          <w:sz w:val="22"/>
        </w:rPr>
        <w:t xml:space="preserve">#01  Transformers / LLMs / coding agents  </w:t>
      </w:r>
      <w:r>
        <w:rPr>
          <w:color w:val="57606A"/>
          <w:sz w:val="18"/>
        </w:rPr>
        <w:t>[AI]</w:t>
      </w:r>
    </w:p>
    <w:p>
      <w:pPr>
        <w:spacing w:after="40"/>
      </w:pPr>
      <w:r>
        <w:rPr>
          <w:b/>
        </w:rPr>
        <w:t xml:space="preserve">Impact: </w:t>
      </w:r>
      <w:r>
        <w:t>Transformers and LLMs have enabled agentic AI systems that autonomously solve software engineering tasks, with frontier models now matching or exceeding professional developer capabilities on real-world codebase tasks.</w:t>
      </w:r>
    </w:p>
    <w:p>
      <w:pPr>
        <w:spacing w:after="40"/>
        <w:ind w:left="216"/>
      </w:pPr>
      <w:r>
        <w:rPr>
          <w:b/>
        </w:rPr>
        <w:t xml:space="preserve">Sub-ideas: </w:t>
      </w:r>
      <w:r>
        <w:t>Coding agents · Mixture-of-Experts (MoE) · Long-context windows · Multimodal frontier models · Open-weight catch-up · Model Context Protocol (MCP) · AWS MCP Server (managed) · GPT-Realtime-2 voice stack · OpenAI GPT-5.5-Cyber (Trusted Access for Cyber) · OS-native agentic AI layer</w:t>
      </w:r>
    </w:p>
    <w:p>
      <w:pPr>
        <w:spacing w:after="160"/>
        <w:ind w:left="216"/>
      </w:pPr>
      <w:r>
        <w:rPr>
          <w:b/>
        </w:rPr>
        <w:t xml:space="preserve">Watch: </w:t>
      </w:r>
      <w:r>
        <w:t>Cursor (Anysphere) (Series D, $29.3B valuation (2026))</w:t>
      </w:r>
    </w:p>
    <w:p>
      <w:r>
        <w:rPr>
          <w:b/>
          <w:sz w:val="22"/>
        </w:rPr>
        <w:t xml:space="preserve">#02  RLHF + reasoning models (test-time compute scaling)  </w:t>
      </w:r>
      <w:r>
        <w:rPr>
          <w:color w:val="57606A"/>
          <w:sz w:val="18"/>
        </w:rPr>
        <w:t>[AI]</w:t>
      </w:r>
    </w:p>
    <w:p>
      <w:pPr>
        <w:spacing w:after="40"/>
      </w:pPr>
      <w:r>
        <w:rPr>
          <w:b/>
        </w:rPr>
        <w:t xml:space="preserve">Impact: </w:t>
      </w:r>
      <w:r>
        <w:t>Reasoning models with test-time compute scaling have fundamentally shifted AI capability distribution from training time to inference time, enabling smaller models to solve previously intractable problems in mathematics, coding, and science while achieving cost-competitive inference.</w:t>
      </w:r>
    </w:p>
    <w:p>
      <w:pPr>
        <w:spacing w:after="40"/>
        <w:ind w:left="216"/>
      </w:pPr>
      <w:r>
        <w:rPr>
          <w:b/>
        </w:rPr>
        <w:t xml:space="preserve">Sub-ideas: </w:t>
      </w:r>
      <w:r>
        <w:t>Test-time compute scaling · Pure-RL reasoning (R1-Zero recipe) · RLHF → RLAIF → Constitutional AI · Reasoning distillation · Agentic reasoning + tool use · Step-wise rubric rewards (SRaR) · Token-level credit assignment for RLVR</w:t>
      </w:r>
    </w:p>
    <w:p>
      <w:pPr>
        <w:spacing w:after="160"/>
        <w:ind w:left="216"/>
      </w:pPr>
      <w:r>
        <w:rPr>
          <w:b/>
        </w:rPr>
        <w:t xml:space="preserve">Watch: </w:t>
      </w:r>
      <w:r>
        <w:t>xAI Grok 5 (Private; xAI acquired by SpaceX in February 2026)</w:t>
      </w:r>
    </w:p>
    <w:p>
      <w:r>
        <w:rPr>
          <w:b/>
          <w:sz w:val="22"/>
        </w:rPr>
        <w:t xml:space="preserve">#03  Diffusion models (image + video generation)  </w:t>
      </w:r>
      <w:r>
        <w:rPr>
          <w:color w:val="57606A"/>
          <w:sz w:val="18"/>
        </w:rPr>
        <w:t>[AI]</w:t>
      </w:r>
    </w:p>
    <w:p>
      <w:pPr>
        <w:spacing w:after="40"/>
      </w:pPr>
      <w:r>
        <w:rPr>
          <w:b/>
        </w:rPr>
        <w:t xml:space="preserve">Impact: </w:t>
      </w:r>
      <w:r>
        <w:t>Diffusion transformers have democratized high-quality image and video generation, enabling consumer-accessible creative tools that generate photorealistic content at scale while emerging world models show potential for physics-aware simulation applicable to autonomous systems and robotics.</w:t>
      </w:r>
    </w:p>
    <w:p>
      <w:pPr>
        <w:spacing w:after="40"/>
        <w:ind w:left="216"/>
      </w:pPr>
      <w:r>
        <w:rPr>
          <w:b/>
        </w:rPr>
        <w:t xml:space="preserve">Sub-ideas: </w:t>
      </w:r>
      <w:r>
        <w:t>Latent diffusion · Diffusion transformers (DiT) · Long-form video generation · World models · One-step / real-time generation · World-grounded omni video generation</w:t>
      </w:r>
    </w:p>
    <w:p>
      <w:pPr>
        <w:spacing w:after="160"/>
        <w:ind w:left="216"/>
      </w:pPr>
      <w:r>
        <w:rPr>
          <w:b/>
        </w:rPr>
        <w:t xml:space="preserve">Watch: </w:t>
      </w:r>
      <w:r>
        <w:t>Stability AI Cascade Model (Venture-backed; facing financial difficulties since 2024)</w:t>
      </w:r>
    </w:p>
    <w:p>
      <w:r>
        <w:rPr>
          <w:b/>
          <w:sz w:val="22"/>
        </w:rPr>
        <w:t xml:space="preserve">#04  AlphaFold + computational protein design  </w:t>
      </w:r>
      <w:r>
        <w:rPr>
          <w:color w:val="57606A"/>
          <w:sz w:val="18"/>
        </w:rPr>
        <w:t>[BIO]</w:t>
      </w:r>
    </w:p>
    <w:p>
      <w:pPr>
        <w:spacing w:after="40"/>
      </w:pPr>
      <w:r>
        <w:rPr>
          <w:b/>
        </w:rPr>
        <w:t xml:space="preserve">Impact: </w:t>
      </w:r>
      <w:r>
        <w:t>AlphaFold and computational design have accelerated protein engineering from random selection to intentional computational design, enabling discovery of novel therapeutics, enzymes, and materials while achieving Nobel Prize recognition in 2024.</w:t>
      </w:r>
    </w:p>
    <w:p>
      <w:pPr>
        <w:spacing w:after="40"/>
        <w:ind w:left="216"/>
      </w:pPr>
      <w:r>
        <w:rPr>
          <w:b/>
        </w:rPr>
        <w:t xml:space="preserve">Sub-ideas: </w:t>
      </w:r>
      <w:r>
        <w:t>AlphaFold2 — single-chain folding · AlphaFold3 — multimodal complexes · De novo design with RFdiffusion · Enzyme design · Protein language models</w:t>
      </w:r>
    </w:p>
    <w:p>
      <w:pPr>
        <w:spacing w:after="160"/>
        <w:ind w:left="216"/>
      </w:pPr>
      <w:r>
        <w:rPr>
          <w:b/>
        </w:rPr>
        <w:t xml:space="preserve">Watch: </w:t>
      </w:r>
      <w:r>
        <w:t>Chai Discovery (Series B: $130M (Oak HC/FT, General Catalyst); Series A: $70M (Menlo Ventures); Total ~$231M)</w:t>
      </w:r>
    </w:p>
    <w:p>
      <w:r>
        <w:rPr>
          <w:b/>
          <w:sz w:val="22"/>
        </w:rPr>
        <w:t xml:space="preserve">#05  mRNA vaccines + LNP delivery  </w:t>
      </w:r>
      <w:r>
        <w:rPr>
          <w:color w:val="57606A"/>
          <w:sz w:val="18"/>
        </w:rPr>
        <w:t>[BIO]</w:t>
      </w:r>
    </w:p>
    <w:p>
      <w:pPr>
        <w:spacing w:after="40"/>
      </w:pPr>
      <w:r>
        <w:rPr>
          <w:b/>
        </w:rPr>
        <w:t xml:space="preserve">Impact: </w:t>
      </w:r>
      <w:r>
        <w:t>mRNA vaccines with LNP delivery have moved from basic science proof-of-concept (Karikó/Weissman 2005) to &gt;13 billion COVID-19 doses and now expanding into personalized cancer vaccines with multi-year survival benefits.</w:t>
      </w:r>
    </w:p>
    <w:p>
      <w:pPr>
        <w:spacing w:after="40"/>
        <w:ind w:left="216"/>
      </w:pPr>
      <w:r>
        <w:rPr>
          <w:b/>
        </w:rPr>
        <w:t xml:space="preserve">Sub-ideas: </w:t>
      </w:r>
      <w:r>
        <w:t>Pseudouridine-modified mRNA · Lipid nanoparticle (LNP) delivery · Personalized cancer vaccines · In vivo CAR-T via mRNA-LNP · Self-amplifying &amp; circular RNA · Reduced-reactogenicity LNP-mRNA · OspA mRNA-LNP (Lyme) · Personalized neoantigen mRNA cancer vaccines</w:t>
      </w:r>
    </w:p>
    <w:p>
      <w:pPr>
        <w:spacing w:after="160"/>
        <w:ind w:left="216"/>
      </w:pPr>
      <w:r>
        <w:rPr>
          <w:b/>
        </w:rPr>
        <w:t xml:space="preserve">Watch: </w:t>
      </w:r>
      <w:r>
        <w:t>Moderna/Merck cancer vaccine program (Funded by Moderna ($10B+ annual R&amp;D) and Merck partnership)</w:t>
      </w:r>
    </w:p>
    <w:p>
      <w:r>
        <w:rPr>
          <w:b/>
          <w:sz w:val="22"/>
        </w:rPr>
        <w:t xml:space="preserve">#06  GLP-1 agonists  </w:t>
      </w:r>
      <w:r>
        <w:rPr>
          <w:color w:val="57606A"/>
          <w:sz w:val="18"/>
        </w:rPr>
        <w:t>[BIO]</w:t>
      </w:r>
    </w:p>
    <w:p>
      <w:pPr>
        <w:spacing w:after="40"/>
      </w:pPr>
      <w:r>
        <w:rPr>
          <w:b/>
        </w:rPr>
        <w:t xml:space="preserve">Impact: </w:t>
      </w:r>
      <w:r>
        <w:t>GLP-1 agonists have revolutionized type 2 diabetes and obesity treatment, shifting paradigm from symptomatic glycemic control to weight loss-driven metabolic improvement, with &gt;$20B annual market value by 2026.</w:t>
      </w:r>
    </w:p>
    <w:p>
      <w:pPr>
        <w:spacing w:after="40"/>
        <w:ind w:left="216"/>
      </w:pPr>
      <w:r>
        <w:rPr>
          <w:b/>
        </w:rPr>
        <w:t xml:space="preserve">Sub-ideas: </w:t>
      </w:r>
      <w:r>
        <w:t>Semaglutide (mono GLP-1) · Tirzepatide (dual GIP/GLP-1) · Retatrutide (triple agonist) · Oral GLP-1s · Indication expansion</w:t>
      </w:r>
    </w:p>
    <w:p>
      <w:pPr>
        <w:spacing w:after="160"/>
        <w:ind w:left="216"/>
      </w:pPr>
      <w:r>
        <w:rPr>
          <w:b/>
        </w:rPr>
        <w:t xml:space="preserve">Watch: </w:t>
      </w:r>
      <w:r>
        <w:t>Retatrutide clinical program (Eli Lilly) (Eli Lilly internal R&amp;D ($3B+ annual pharma R&amp;D))</w:t>
      </w:r>
    </w:p>
    <w:p>
      <w:r>
        <w:rPr>
          <w:b/>
          <w:sz w:val="22"/>
        </w:rPr>
        <w:t xml:space="preserve">#07  CRISPR therapies (Casgevy + base/prime editing)  </w:t>
      </w:r>
      <w:r>
        <w:rPr>
          <w:color w:val="57606A"/>
          <w:sz w:val="18"/>
        </w:rPr>
        <w:t>[BIO]</w:t>
      </w:r>
    </w:p>
    <w:p>
      <w:pPr>
        <w:spacing w:after="40"/>
      </w:pPr>
      <w:r>
        <w:rPr>
          <w:b/>
        </w:rPr>
        <w:t xml:space="preserve">Impact: </w:t>
      </w:r>
      <w:r>
        <w:t>Casgevy approval (December 2023) marked first FDA-approved CRISPR therapy; 23+ clinical trials now active with base/prime editing showing efficacy in rare genetic diseases and potential for broader indications.</w:t>
      </w:r>
    </w:p>
    <w:p>
      <w:pPr>
        <w:spacing w:after="40"/>
        <w:ind w:left="216"/>
      </w:pPr>
      <w:r>
        <w:rPr>
          <w:b/>
        </w:rPr>
        <w:t xml:space="preserve">Sub-ideas: </w:t>
      </w:r>
      <w:r>
        <w:t>Ex vivo CRISPR/Cas9 (Casgevy) · Base editing · Prime editing · In vivo CRISPR via LNP · Epigenome editing</w:t>
      </w:r>
    </w:p>
    <w:p>
      <w:pPr>
        <w:spacing w:after="160"/>
        <w:ind w:left="216"/>
      </w:pPr>
      <w:r>
        <w:rPr>
          <w:b/>
        </w:rPr>
        <w:t xml:space="preserve">Watch: </w:t>
      </w:r>
      <w:r>
        <w:t>Prime Medicine (prime editing platform) (Series B: $200M+ (2022); backed by Jeff Bezos and others)</w:t>
      </w:r>
    </w:p>
    <w:p>
      <w:r>
        <w:rPr>
          <w:b/>
          <w:sz w:val="22"/>
        </w:rPr>
        <w:t xml:space="preserve">#08  Quantum error correction (logical qubits below threshold)  </w:t>
      </w:r>
      <w:r>
        <w:rPr>
          <w:color w:val="57606A"/>
          <w:sz w:val="18"/>
        </w:rPr>
        <w:t>[QUANTUM]</w:t>
      </w:r>
    </w:p>
    <w:p>
      <w:pPr>
        <w:spacing w:after="40"/>
      </w:pPr>
      <w:r>
        <w:rPr>
          <w:b/>
        </w:rPr>
        <w:t xml:space="preserve">Impact: </w:t>
      </w:r>
      <w:r>
        <w:t>Crossed theoretical threshold for scalable quantum computing; demonstrated exponential error suppression on real hardware for the first time, moving from physics milestone to engineering milestone.</w:t>
      </w:r>
    </w:p>
    <w:p>
      <w:pPr>
        <w:spacing w:after="40"/>
        <w:ind w:left="216"/>
      </w:pPr>
      <w:r>
        <w:rPr>
          <w:b/>
        </w:rPr>
        <w:t xml:space="preserve">Sub-ideas: </w:t>
      </w:r>
      <w:r>
        <w:t>Surface code below threshold · Logical qubits with virtualization · Bivariate bicycle / qLDPC codes · Cat qubits &amp; bosonic codes · Real-time decoding hardware</w:t>
      </w:r>
    </w:p>
    <w:p>
      <w:pPr>
        <w:spacing w:after="160"/>
        <w:ind w:left="216"/>
      </w:pPr>
      <w:r>
        <w:rPr>
          <w:b/>
        </w:rPr>
        <w:t xml:space="preserve">Watch: </w:t>
      </w:r>
      <w:r>
        <w:t>PsiQuantum (Significant DARPA backing; private funding round details proprietary)</w:t>
      </w:r>
    </w:p>
    <w:p>
      <w:r>
        <w:rPr>
          <w:b/>
          <w:sz w:val="22"/>
        </w:rPr>
        <w:t xml:space="preserve">#09  Reusable rockets (Falcon 9 + Starship catch)  </w:t>
      </w:r>
      <w:r>
        <w:rPr>
          <w:color w:val="57606A"/>
          <w:sz w:val="18"/>
        </w:rPr>
        <w:t>[SPACE]</w:t>
      </w:r>
    </w:p>
    <w:p>
      <w:pPr>
        <w:spacing w:after="40"/>
      </w:pPr>
      <w:r>
        <w:rPr>
          <w:b/>
        </w:rPr>
        <w:t xml:space="preserve">Impact: </w:t>
      </w:r>
      <w:r>
        <w:t>Demonstrated booster reusability at scale (Falcon 9) and tower-catch recovery capability for heavy-lift (Starship/Mechazilla), reducing per-flight costs by 50%+ and enabling rapid cadence launch operations.</w:t>
      </w:r>
    </w:p>
    <w:p>
      <w:pPr>
        <w:spacing w:after="40"/>
        <w:ind w:left="216"/>
      </w:pPr>
      <w:r>
        <w:rPr>
          <w:b/>
        </w:rPr>
        <w:t xml:space="preserve">Sub-ideas: </w:t>
      </w:r>
      <w:r>
        <w:t>Falcon 9 booster reuse · Mechazilla booster catch (Starship) · Fully reusable upper stage · Fairing recovery · Heavy-lift competition opens up</w:t>
      </w:r>
    </w:p>
    <w:p>
      <w:pPr>
        <w:spacing w:after="160"/>
        <w:ind w:left="216"/>
      </w:pPr>
      <w:r>
        <w:rPr>
          <w:b/>
        </w:rPr>
        <w:t xml:space="preserve">Watch: </w:t>
      </w:r>
      <w:r>
        <w:t>Blue Origin New Glenn (Internal Blue Origin funding; Jeff Bezos backed)</w:t>
      </w:r>
    </w:p>
    <w:p>
      <w:r>
        <w:rPr>
          <w:b/>
          <w:sz w:val="22"/>
        </w:rPr>
        <w:t xml:space="preserve">#10  Renewables + battery cost collapse  </w:t>
      </w:r>
      <w:r>
        <w:rPr>
          <w:color w:val="57606A"/>
          <w:sz w:val="18"/>
        </w:rPr>
        <w:t>[ENERGY]</w:t>
      </w:r>
    </w:p>
    <w:p>
      <w:pPr>
        <w:spacing w:after="40"/>
      </w:pPr>
      <w:r>
        <w:rPr>
          <w:b/>
        </w:rPr>
        <w:t xml:space="preserve">Impact: </w:t>
      </w:r>
      <w:r>
        <w:t>Battery costs collapsed 80% since 2010 ($1,200 to $108/kWh); solar &amp; wind LCOE below fossil gas; renewable capacity additions accelerating; grid storage emerging as competitive energy arbitrage asset class.</w:t>
      </w:r>
    </w:p>
    <w:p>
      <w:pPr>
        <w:spacing w:after="40"/>
        <w:ind w:left="216"/>
      </w:pPr>
      <w:r>
        <w:rPr>
          <w:b/>
        </w:rPr>
        <w:t xml:space="preserve">Sub-ideas: </w:t>
      </w:r>
      <w:r>
        <w:t>Solar PV cost collapse · Lithium-ion battery price below $100/kWh · LFP chemistry takeover · Sodium-ion mass production · Long-duration storage (iron-air) · High-energy-density sodium-ion at GWh scale</w:t>
      </w:r>
    </w:p>
    <w:p>
      <w:pPr>
        <w:spacing w:after="160"/>
        <w:ind w:left="216"/>
      </w:pPr>
      <w:r>
        <w:rPr>
          <w:b/>
        </w:rPr>
        <w:t xml:space="preserve">Watch: </w:t>
      </w:r>
      <w:r>
        <w:t>BYD Sodium-Ion (Internal BYD funding; $37B+ market cap; profitable EV/battery leader)</w:t>
      </w:r>
    </w:p>
    <w:p>
      <w:r>
        <w:rPr>
          <w:b/>
          <w:sz w:val="22"/>
        </w:rPr>
        <w:t xml:space="preserve">#11  Self-driving cars / robotaxis  </w:t>
      </w:r>
      <w:r>
        <w:rPr>
          <w:color w:val="57606A"/>
          <w:sz w:val="18"/>
        </w:rPr>
        <w:t>[AI]</w:t>
      </w:r>
    </w:p>
    <w:p>
      <w:pPr>
        <w:spacing w:after="40"/>
      </w:pPr>
      <w:r>
        <w:rPr>
          <w:b/>
        </w:rPr>
        <w:t xml:space="preserve">Impact: </w:t>
      </w:r>
      <w:r>
        <w:t>Robotaxis crossed from pilot to scaled commercial reality between 2023–2025 — Waymo passing 4M paid driverless trips with peer-reviewed safety data, Tesla launching FSD-based robotaxis, and Aurora running fully driverless freight — finally validating a 15-year capital cycle.</w:t>
      </w:r>
    </w:p>
    <w:p>
      <w:pPr>
        <w:spacing w:after="40"/>
        <w:ind w:left="216"/>
      </w:pPr>
      <w:r>
        <w:rPr>
          <w:b/>
        </w:rPr>
        <w:t xml:space="preserve">Sub-ideas: </w:t>
      </w:r>
      <w:r>
        <w:t>Waymo's mapped + LiDAR robotaxi stack · End-to-end neural-net driving · Autonomous trucking · Generative-AI simulation · Chinese robotaxi at scale</w:t>
      </w:r>
    </w:p>
    <w:p>
      <w:pPr>
        <w:spacing w:after="160"/>
        <w:ind w:left="216"/>
      </w:pPr>
      <w:r>
        <w:rPr>
          <w:b/>
        </w:rPr>
        <w:t xml:space="preserve">Watch: </w:t>
      </w:r>
      <w:r>
        <w:t>Wayve (Series C, $1.05B led by SoftBank (May 2024); also NVIDIA, Microsoft)</w:t>
      </w:r>
    </w:p>
    <w:p>
      <w:r>
        <w:rPr>
          <w:b/>
          <w:sz w:val="22"/>
        </w:rPr>
        <w:t xml:space="preserve">#12  Humanoid robotics  </w:t>
      </w:r>
      <w:r>
        <w:rPr>
          <w:color w:val="57606A"/>
          <w:sz w:val="18"/>
        </w:rPr>
        <w:t>[ROBOTICS]</w:t>
      </w:r>
    </w:p>
    <w:p>
      <w:pPr>
        <w:spacing w:after="40"/>
      </w:pPr>
      <w:r>
        <w:rPr>
          <w:b/>
        </w:rPr>
        <w:t xml:space="preserve">Impact: </w:t>
      </w:r>
      <w:r>
        <w:t>Humanoid robotics moved from research demos to low-volume industrial production between late 2024 and May 2026 — Tesla and Boston Dynamics in factories, Figure on the BMW line, 1X taking consumer pre-orders, with VLA models (RT-2, π0, Helix) finally enabling task generalization beyond hand-coded behaviors.</w:t>
      </w:r>
    </w:p>
    <w:p>
      <w:pPr>
        <w:spacing w:after="40"/>
        <w:ind w:left="216"/>
      </w:pPr>
      <w:r>
        <w:rPr>
          <w:b/>
        </w:rPr>
        <w:t xml:space="preserve">Sub-ideas: </w:t>
      </w:r>
      <w:r>
        <w:t>Vision-Language-Action (VLA) foundation models · Tactile sensing &amp; dexterous manipulation · Sim-to-real RL &amp; whole-body control · Data factories &amp; teleoperation scaling · Form-factor convergence (26–32 DOF bipedal) · MolmoAct2 (open VLA)</w:t>
      </w:r>
    </w:p>
    <w:p>
      <w:pPr>
        <w:spacing w:after="160"/>
        <w:ind w:left="216"/>
      </w:pPr>
      <w:r>
        <w:rPr>
          <w:b/>
        </w:rPr>
        <w:t xml:space="preserve">Watch: </w:t>
      </w:r>
      <w:r>
        <w:t>Figure AI (Series C ~$1.5B at $39.5B valuation (Sep 2025); ~$1.9B total raised)</w:t>
      </w:r>
    </w:p>
    <w:p>
      <w:r>
        <w:rPr>
          <w:b/>
          <w:sz w:val="22"/>
        </w:rPr>
        <w:t xml:space="preserve">#13  Fusion energy  </w:t>
      </w:r>
      <w:r>
        <w:rPr>
          <w:color w:val="57606A"/>
          <w:sz w:val="18"/>
        </w:rPr>
        <w:t>[ENERGY]</w:t>
      </w:r>
    </w:p>
    <w:p>
      <w:pPr>
        <w:spacing w:after="40"/>
      </w:pPr>
      <w:r>
        <w:rPr>
          <w:b/>
        </w:rPr>
        <w:t xml:space="preserve">Impact: </w:t>
      </w:r>
      <w:r>
        <w:t>Fusion went from public-science promise to active commercial track between 2022 and 2026: NIF demonstrated repeatable net energy gain, CFS broke ground on SPARC with HTS magnets, and Helion shipped a D-T plasma machine on the way to a 50 MW commercial PPA with Microsoft.</w:t>
      </w:r>
    </w:p>
    <w:p>
      <w:pPr>
        <w:spacing w:after="40"/>
        <w:ind w:left="216"/>
      </w:pPr>
      <w:r>
        <w:rPr>
          <w:b/>
        </w:rPr>
        <w:t xml:space="preserve">Sub-ideas: </w:t>
      </w:r>
      <w:r>
        <w:t>Tokamak (magnetic confinement) · Inertial confinement (laser-driven) · HTS (high-temperature superconductor) magnets · AI plasma control · Alternative confinement concepts</w:t>
      </w:r>
    </w:p>
    <w:p>
      <w:pPr>
        <w:spacing w:after="160"/>
        <w:ind w:left="216"/>
      </w:pPr>
      <w:r>
        <w:rPr>
          <w:b/>
        </w:rPr>
        <w:t xml:space="preserve">Watch: </w:t>
      </w:r>
      <w:r>
        <w:t>Commonwealth Fusion Systems (SPARC) ($3.0B total; Series B2 $863M (Aug 2025) led by Nvidia, Google, Bill Gates)</w:t>
      </w:r>
    </w:p>
    <w:p>
      <w:r>
        <w:rPr>
          <w:b/>
          <w:sz w:val="22"/>
        </w:rPr>
        <w:t xml:space="preserve">#14  Brain-computer interfaces  </w:t>
      </w:r>
      <w:r>
        <w:rPr>
          <w:color w:val="57606A"/>
          <w:sz w:val="18"/>
        </w:rPr>
        <w:t>[BIO]</w:t>
      </w:r>
    </w:p>
    <w:p>
      <w:pPr>
        <w:spacing w:after="40"/>
      </w:pPr>
      <w:r>
        <w:rPr>
          <w:b/>
        </w:rPr>
        <w:t xml:space="preserve">Impact: </w:t>
      </w:r>
      <w:r>
        <w:t>BCIs crossed from lab to early commercial reality between 2024 and 2026: Neuralink put 5+ patients on the Telepathy implant, Precision Neuroscience took home the first wireless-cortical-BCI 510(k), BrainGate hit 110 cpm bimanual typing, UCSF restored speech at 78 wpm, and Meta shipped a 20.9 wpm sEMG wristband to consumers.</w:t>
      </w:r>
    </w:p>
    <w:p>
      <w:pPr>
        <w:spacing w:after="40"/>
        <w:ind w:left="216"/>
      </w:pPr>
      <w:r>
        <w:rPr>
          <w:b/>
        </w:rPr>
        <w:t xml:space="preserve">Sub-ideas: </w:t>
      </w:r>
      <w:r>
        <w:t>Intracortical microelectrode arrays (Utah arrays) · Endovascular BCI (Stentrode) · High-bandwidth thin-film cortical interfaces · Speech decoding &amp; synthesis · Non-invasive consumer BCI (EMG / EEG / fNIRS) · Intraoperative high-density micro-ECoG BCI</w:t>
      </w:r>
    </w:p>
    <w:p>
      <w:pPr>
        <w:spacing w:after="160"/>
        <w:ind w:left="216"/>
      </w:pPr>
      <w:r>
        <w:rPr>
          <w:b/>
        </w:rPr>
        <w:t xml:space="preserve">Watch: </w:t>
      </w:r>
      <w:r>
        <w:t>Neuralink Blindsight (Reported $1B+ private equity, Musk-led)</w:t>
      </w:r>
    </w:p>
    <w:p>
      <w:r>
        <w:rPr>
          <w:b/>
          <w:sz w:val="22"/>
        </w:rPr>
        <w:t xml:space="preserve">#15  AI accelerators / advanced compute  </w:t>
      </w:r>
      <w:r>
        <w:rPr>
          <w:color w:val="57606A"/>
          <w:sz w:val="18"/>
        </w:rPr>
        <w:t>[HARDWARE]</w:t>
      </w:r>
    </w:p>
    <w:p>
      <w:pPr>
        <w:spacing w:after="40"/>
      </w:pPr>
      <w:r>
        <w:rPr>
          <w:b/>
        </w:rPr>
        <w:t xml:space="preserve">Impact: </w:t>
      </w:r>
      <w:r>
        <w:t>GPU-dominated AI compute fractured into specialized lanes between 2024 and 2026 — wafer-scale (Cerebras), inference ASICs (Groq, Etched), photonic interconnect (Lightmatter), and per-hyperscaler custom silicon (TPU/Trainium/Maia/MTIA) — pulling 20–70% of opex out of training and inference.</w:t>
      </w:r>
    </w:p>
    <w:p>
      <w:pPr>
        <w:spacing w:after="40"/>
        <w:ind w:left="216"/>
      </w:pPr>
      <w:r>
        <w:rPr>
          <w:b/>
        </w:rPr>
        <w:t xml:space="preserve">Sub-ideas: </w:t>
      </w:r>
      <w:r>
        <w:t>GPU scaling (Hopper → Blackwell → Rubin) · Wafer-scale processors · Inference-specialized ASICs · Hyperscaler custom silicon · Photonic &amp; neuromorphic compute · Google four-partner inference TPU supply chain</w:t>
      </w:r>
    </w:p>
    <w:p>
      <w:pPr>
        <w:spacing w:after="160"/>
        <w:ind w:left="216"/>
      </w:pPr>
      <w:r>
        <w:rPr>
          <w:b/>
        </w:rPr>
        <w:t xml:space="preserve">Watch: </w:t>
      </w:r>
      <w:r>
        <w:t>Tenstorrent (Series B (2024) led by Khosla Ventures and others)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