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2026-05-29 · 15 breakthroughs · 9 weekly entries</w:t>
      </w:r>
    </w:p>
    <w:p/>
    <w:p>
      <w:pPr>
        <w:pStyle w:val="Heading1"/>
      </w:pPr>
      <w:r>
        <w:t>Latest run · week ending 2026-05-29</w:t>
      </w:r>
    </w:p>
    <w:p>
      <w:r>
        <w:rPr>
          <w:b/>
        </w:rPr>
        <w:t xml:space="preserve">Kind: </w:t>
      </w:r>
      <w:r>
        <w:t>WEEKLY_UPDATE</w:t>
      </w:r>
      <w:r>
        <w:t xml:space="preserve"> · </w:t>
      </w:r>
      <w:r>
        <w:rPr>
          <w:i/>
        </w:rPr>
        <w:t>Generated 2026-05-29T15:03:28</w:t>
      </w:r>
    </w:p>
    <w:p>
      <w:r>
        <w:rPr>
          <w:sz w:val="22"/>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p>
      <w:pPr>
        <w:spacing w:after="40"/>
      </w:pPr>
      <w:r>
        <w:rPr>
          <w:b/>
        </w:rPr>
        <w:t xml:space="preserve">  • New breakthroughs: </w:t>
      </w:r>
      <w:r>
        <w:t>0</w:t>
      </w:r>
    </w:p>
    <w:p>
      <w:pPr>
        <w:spacing w:after="40"/>
      </w:pPr>
      <w:r>
        <w:rPr>
          <w:b/>
        </w:rPr>
        <w:t xml:space="preserve">  • New sub-ideas: </w:t>
      </w:r>
      <w:r>
        <w:t>2</w:t>
      </w:r>
    </w:p>
    <w:p>
      <w:pPr>
        <w:spacing w:after="40"/>
      </w:pPr>
      <w:r>
        <w:rPr>
          <w:b/>
        </w:rPr>
        <w:t xml:space="preserve">  • New frontier results: </w:t>
      </w:r>
      <w:r>
        <w:t>5</w:t>
      </w:r>
    </w:p>
    <w:p>
      <w:pPr>
        <w:spacing w:after="40"/>
      </w:pPr>
      <w:r>
        <w:rPr>
          <w:b/>
        </w:rPr>
        <w:t xml:space="preserve">  • New watch picks: </w:t>
      </w:r>
      <w:r>
        <w:t>2</w:t>
      </w:r>
    </w:p>
    <w:p>
      <w:pPr>
        <w:spacing w:after="40"/>
      </w:pPr>
      <w:r>
        <w:rPr>
          <w:b/>
        </w:rPr>
        <w:t xml:space="preserve">  • New people: </w:t>
      </w:r>
      <w:r>
        <w:t>1</w:t>
      </w:r>
    </w:p>
    <w:p>
      <w:pPr>
        <w:spacing w:after="40"/>
      </w:pPr>
      <w:r>
        <w:rPr>
          <w:b/>
        </w:rPr>
        <w:t xml:space="preserve">  • Updated facts: </w:t>
      </w:r>
      <w:r>
        <w:t>9</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Anthropic releases Claude Opus 4.8 with dynamic workflows</w:t>
      </w:r>
      <w:r>
        <w:t xml:space="preserve"> — </w:t>
      </w:r>
      <w:r>
        <w:t>Anthropic launched Claude Opus 4.8 on May 28, 2026, just 41 days after Opus 4.7. Agentic coding score jumps to 69.2%, computer-use scores 84% on Online-Mind2Web, and a new 'dynamic workflows' research preview lets Claude Code handle bigger tasks at unchanged pricing.</w:t>
      </w:r>
      <w:r>
        <w:rPr>
          <w:color w:val="0969DA"/>
          <w:sz w:val="16"/>
        </w:rPr>
        <w:t xml:space="preserve">  (https://www.anthropic.com/news/claude-opus-4-8)</w:t>
      </w:r>
    </w:p>
    <w:p>
      <w:pPr>
        <w:spacing w:after="40"/>
      </w:pPr>
      <w:r>
        <w:rPr>
          <w:b/>
          <w:color w:val="9A6700"/>
          <w:sz w:val="18"/>
        </w:rPr>
        <w:t xml:space="preserve">[Updated fact]  </w:t>
      </w:r>
      <w:r>
        <w:rPr>
          <w:i/>
          <w:color w:val="57606A"/>
          <w:sz w:val="18"/>
        </w:rPr>
        <w:t xml:space="preserve">#01 Transformers / LLMs / coding agents  </w:t>
      </w:r>
    </w:p>
    <w:p>
      <w:pPr>
        <w:spacing w:after="80"/>
        <w:ind w:left="360"/>
      </w:pPr>
      <w:r>
        <w:rPr>
          <w:b/>
        </w:rPr>
        <w:t>Anthropic raises $65B Series H at $965B post-money</w:t>
      </w:r>
      <w:r>
        <w:t xml:space="preserve"> — </w:t>
      </w:r>
      <w:r>
        <w:t>On May 28, 2026, Anthropic announced a $65B Series H at a $965B post-money valuation led by Altimeter, Dragoneer, Greenoaks, and Sequoia, briefly eclipsing OpenAI as the most valuable AI startup. Run-rate revenue crossed $47B earlier in May.</w:t>
      </w:r>
      <w:r>
        <w:rPr>
          <w:color w:val="0969DA"/>
          <w:sz w:val="16"/>
        </w:rPr>
        <w:t xml:space="preserve">  (https://www.anthropic.com/news/series-h)</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Karpathy joins Anthropic pretraining team</w:t>
      </w:r>
      <w:r>
        <w:t xml:space="preserve"> — </w:t>
      </w:r>
      <w:r>
        <w:t>Andrej Karpathy announced in mid-May 2026 that he is joining Anthropic's pre-training team to lead a new effort using Claude itself to accelerate pretraining research — signalling consolidation of top AI talent at Anthropic and an industry pivot toward AI-automating-AI-research.</w:t>
      </w:r>
      <w:r>
        <w:rPr>
          <w:color w:val="0969DA"/>
          <w:sz w:val="16"/>
        </w:rPr>
        <w:t xml:space="preserve">  (https://www.axios.com/2026/05/19/anthropic-openai-karpathy-andrej-claude)</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Equilibrium Reasoners: deep latent-attractor test-time scaling</w:t>
      </w:r>
      <w:r>
        <w:t xml:space="preserve"> — </w:t>
      </w:r>
      <w:r>
        <w:t>Arxiv preprint (May 20, 2026) introduces Equilibrium Reasoners, iteratively updating a latent state via task-conditioned attractors. Boosts Sudoku-Extreme accuracy from 2.6% to over 99% by unrolling up to the equivalent of 40,000 layers — no external verifiers or task-specific priors.</w:t>
      </w:r>
      <w:r>
        <w:rPr>
          <w:color w:val="0969DA"/>
          <w:sz w:val="16"/>
        </w:rPr>
        <w:t xml:space="preserve">  (https://arxiv.org/abs/2605.21488)</w:t>
      </w:r>
    </w:p>
    <w:p>
      <w:pPr>
        <w:spacing w:after="40"/>
      </w:pPr>
      <w:r>
        <w:rPr>
          <w:b/>
          <w:color w:val="0969DA"/>
          <w:sz w:val="18"/>
        </w:rPr>
        <w:t xml:space="preserve">[New frontier result]  </w:t>
      </w:r>
      <w:r>
        <w:rPr>
          <w:i/>
          <w:color w:val="57606A"/>
          <w:sz w:val="18"/>
        </w:rPr>
        <w:t xml:space="preserve">#11 Self-driving cars / robotaxis  </w:t>
      </w:r>
    </w:p>
    <w:p>
      <w:pPr>
        <w:spacing w:after="80"/>
        <w:ind w:left="360"/>
      </w:pPr>
      <w:r>
        <w:rPr>
          <w:b/>
        </w:rPr>
        <w:t>Waymo launches Ojai purpose-built robotaxi (6th-gen Driver)</w:t>
      </w:r>
      <w:r>
        <w:t xml:space="preserve"> — </w:t>
      </w:r>
      <w:r>
        <w:t>On May 28, 2026, Waymo began public rides in the Ojai — its first vehicle designed from the ground up as a robotaxi (Zeekr/Geely-made, four-seat EV minivan). 6th-gen Driver uses 4 lidars / 6 radars / 13 cameras (down from 5/6/29). Initial 100 units across SF, LA, Phoenix.</w:t>
      </w:r>
      <w:r>
        <w:rPr>
          <w:color w:val="0969DA"/>
          <w:sz w:val="16"/>
        </w:rPr>
        <w:t xml:space="preserve">  (https://electrek.co/2026/05/28/waymo-ojai-robotaxi-rides-6th-gen-driver/)</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Pony.ai global robotaxi fleet surpasses 1,700</w:t>
      </w:r>
      <w:r>
        <w:t xml:space="preserve"> — </w:t>
      </w:r>
      <w:r>
        <w:t>Pony.ai disclosed that as of May 24, 2026, its global robotaxi fleet exceeded 1,700 vehicles — up ~250 since its 2025 annual report. WeRide's domestic fleet reached ~1,000 by end of April.</w:t>
      </w:r>
      <w:r>
        <w:rPr>
          <w:color w:val="0969DA"/>
          <w:sz w:val="16"/>
        </w:rPr>
        <w:t xml:space="preserve">  (https://carnewschina.com/2026/05/29/china-robotaxi-industry-faces-regulatory-cooling-off-following-march-apollo-go-mass-paralysis/)</w:t>
      </w:r>
    </w:p>
    <w:p>
      <w:pPr>
        <w:spacing w:after="40"/>
      </w:pPr>
      <w:r>
        <w:rPr>
          <w:b/>
          <w:color w:val="9A6700"/>
          <w:sz w:val="18"/>
        </w:rPr>
        <w:t xml:space="preserve">[Updated fact]  </w:t>
      </w:r>
      <w:r>
        <w:rPr>
          <w:i/>
          <w:color w:val="57606A"/>
          <w:sz w:val="18"/>
        </w:rPr>
        <w:t xml:space="preserve">#12 Humanoid robotics  </w:t>
      </w:r>
    </w:p>
    <w:p>
      <w:pPr>
        <w:spacing w:after="80"/>
        <w:ind w:left="360"/>
      </w:pPr>
      <w:r>
        <w:rPr>
          <w:b/>
        </w:rPr>
        <w:t>Figure scales Figure 03 to one robot per hour; 350+ units built</w:t>
      </w:r>
      <w:r>
        <w:t xml:space="preserve"> — </w:t>
      </w:r>
      <w:r>
        <w:t>Figure AI announced in week of May 27, 2026 that BotQ ramped Figure 03 production from one unit/day to one unit/hour in under four months, 350+ Gen-3 robots built. New System 0 perception-conditioned whole-body control enables stair/ramp navigation; 10-hour package-processing livestream showed Figure 03 hitting 98.5% of human throughput.</w:t>
      </w:r>
      <w:r>
        <w:rPr>
          <w:color w:val="0969DA"/>
          <w:sz w:val="16"/>
        </w:rPr>
        <w:t xml:space="preserve">  (https://roboticsandautomationnews.com/2026/05/27/figure-ramps-humanoid-robot-manufacturing-at-unprecedented-speed/101954/)</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VERVE-102 cuts LDL-C up to 62% in Heart-2 Phase 1b</w:t>
      </w:r>
      <w:r>
        <w:t xml:space="preserve"> — </w:t>
      </w:r>
      <w:r>
        <w:t>Eli Lilly announced May 25, 2026 that a single dose of in vivo PCSK9 base editor VERVE-102 reduced PCSK9 by up to 88% and LDL-C by up to 62%, published in NEJM. Phase 2 launch planned by year-end.</w:t>
      </w:r>
      <w:r>
        <w:rPr>
          <w:color w:val="0969DA"/>
          <w:sz w:val="16"/>
        </w:rPr>
        <w:t xml:space="preserve">  (https://investor.lilly.com/news-releases/news-release-details/single-dose-lillys-pcsk9-base-editor-verve-102-reduced-pcsk9-88)</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Baker Lab: quasisymmetric protein nanocages for gene delivery</w:t>
      </w:r>
      <w:r>
        <w:t xml:space="preserve"> — </w:t>
      </w:r>
      <w:r>
        <w:t>David Baker's UW Institute for Protein Design lab published twin Nature papers May 22, 2026 describing one- and two-component quasisymmetric protein nanocages — programmable virus-like capsules engineered for genetic-medicine delivery.</w:t>
      </w:r>
      <w:r>
        <w:rPr>
          <w:color w:val="0969DA"/>
          <w:sz w:val="16"/>
        </w:rPr>
        <w:t xml:space="preserve">  (https://www.bakerlab.org/2026/05/22/programming-proteins-with-viral-geometry/)</w:t>
      </w:r>
    </w:p>
    <w:p>
      <w:pPr>
        <w:spacing w:after="40"/>
      </w:pPr>
      <w:r>
        <w:rPr>
          <w:b/>
          <w:color w:val="1A7F37"/>
          <w:sz w:val="18"/>
        </w:rPr>
        <w:t xml:space="preserve">[New person]  </w:t>
      </w:r>
      <w:r>
        <w:rPr>
          <w:i/>
          <w:color w:val="57606A"/>
          <w:sz w:val="18"/>
        </w:rPr>
        <w:t xml:space="preserve">#04 AlphaFold + computational protein design  </w:t>
      </w:r>
    </w:p>
    <w:p>
      <w:pPr>
        <w:spacing w:after="80"/>
        <w:ind w:left="360"/>
      </w:pPr>
      <w:r>
        <w:rPr>
          <w:b/>
        </w:rPr>
        <w:t>Alexander Rives — 1.1B-structure atlas + CTLA-4 binders</w:t>
      </w:r>
      <w:r>
        <w:t xml:space="preserve"> — </w:t>
      </w:r>
      <w:r>
        <w:t>Alexander Rives' EvolutionaryScale team released an AI tool generating an atlas of 1.1 billion predicted protein structures and 6.8 billion sequences, with lab-validated CTLA-4 binders.</w:t>
      </w:r>
      <w:r>
        <w:rPr>
          <w:color w:val="0969DA"/>
          <w:sz w:val="16"/>
        </w:rPr>
        <w:t xml:space="preserve">  (https://www.nature.com/articles/d41586-026-01686-3)</w:t>
      </w:r>
    </w:p>
    <w:p>
      <w:pPr>
        <w:spacing w:after="40"/>
      </w:pPr>
      <w:r>
        <w:rPr>
          <w:b/>
          <w:color w:val="0E6E6F"/>
          <w:sz w:val="18"/>
        </w:rPr>
        <w:t xml:space="preserve">[New watch pick]  </w:t>
      </w:r>
      <w:r>
        <w:rPr>
          <w:i/>
          <w:color w:val="57606A"/>
          <w:sz w:val="18"/>
        </w:rPr>
        <w:t xml:space="preserve">#14 Brain-computer interfaces  </w:t>
      </w:r>
    </w:p>
    <w:p>
      <w:pPr>
        <w:spacing w:after="80"/>
        <w:ind w:left="360"/>
      </w:pPr>
      <w:r>
        <w:rPr>
          <w:b/>
        </w:rPr>
        <w:t>Rice + Baylor join BrainGate as first Texas member</w:t>
      </w:r>
      <w:r>
        <w:t xml:space="preserve"> — </w:t>
      </w:r>
      <w:r>
        <w:t>On May 28, 2026, Rice University and Baylor College of Medicine joined the BrainGate consortium as its sixth member, launching a clinical trial decoding cortical signals to control assistive robotics for people with tetraplegia.</w:t>
      </w:r>
      <w:r>
        <w:rPr>
          <w:color w:val="0969DA"/>
          <w:sz w:val="16"/>
        </w:rPr>
        <w:t xml:space="preserve">  (https://news.rice.edu/news/2026/clinical-trial-seeks-advance-intuitive-assistive-robotics-people-paralysis)</w:t>
      </w:r>
    </w:p>
    <w:p>
      <w:pPr>
        <w:spacing w:after="40"/>
      </w:pPr>
      <w:r>
        <w:rPr>
          <w:b/>
          <w:color w:val="9A6700"/>
          <w:sz w:val="18"/>
        </w:rPr>
        <w:t xml:space="preserve">[Updated fact]  </w:t>
      </w:r>
      <w:r>
        <w:rPr>
          <w:i/>
          <w:color w:val="57606A"/>
          <w:sz w:val="18"/>
        </w:rPr>
        <w:t xml:space="preserve">#06 GLP-1 agonists  </w:t>
      </w:r>
    </w:p>
    <w:p>
      <w:pPr>
        <w:spacing w:after="80"/>
        <w:ind w:left="360"/>
      </w:pPr>
      <w:r>
        <w:rPr>
          <w:b/>
        </w:rPr>
        <w:t>Retatrutide TRIUMPH-1: up to 28.3% weight loss at 80 wks</w:t>
      </w:r>
      <w:r>
        <w:t xml:space="preserve"> — </w:t>
      </w:r>
      <w:r>
        <w:t>Eli Lilly's triple agonist retatrutide hit its primary endpoint in Phase 3 TRIUMPH-1 (announced May 21-22, 2026): up to 28.3% average weight loss at 80 weeks (12 mg dose); 65.3% of patients reached BMI &lt;30.</w:t>
      </w:r>
      <w:r>
        <w:rPr>
          <w:color w:val="0969DA"/>
          <w:sz w:val="16"/>
        </w:rPr>
        <w:t xml:space="preserve">  (https://investor.lilly.com/news-releases/news-release-details/lillys-triple-agonist-retatrutide-delivered-powerful-weight-loss)</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Starship V3 flies for first time (Flight 12)</w:t>
      </w:r>
      <w:r>
        <w:t xml:space="preserve"> — </w:t>
      </w:r>
      <w:r>
        <w:t>On May 22, 2026, SpaceX launched the first Starship/Super Heavy V3 vehicle with Raptor 3 engines from Pad 2 at Starbase. Deployed 20 mock Starlink satellites and reached planned Indian Ocean splashdown despite engine anomalies.</w:t>
      </w:r>
      <w:r>
        <w:rPr>
          <w:color w:val="0969DA"/>
          <w:sz w:val="16"/>
        </w:rPr>
        <w:t xml:space="preserve">  (https://www.spacex.com/launches/starship-flight-12)</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New Glenn destroyed in pad static-fire explosion</w:t>
      </w:r>
      <w:r>
        <w:t xml:space="preserve"> — </w:t>
      </w:r>
      <w:r>
        <w:t>On May 28, 2026, a New Glenn rocket exploded during a static-fire test at LC-36, Cape Canaveral, destroying the vehicle that was set to launch 48 Amazon Project Kuiper satellites in early June.</w:t>
      </w:r>
      <w:r>
        <w:rPr>
          <w:color w:val="0969DA"/>
          <w:sz w:val="16"/>
        </w:rPr>
        <w:t xml:space="preserve">  (https://spaceflightnow.com/2026/05/29/blue-origins-new-glenn-rocket-explodes-during-prelaunch-testing-at-cape-canaveral/)</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IBM commits $10B to quantum, doubling down on 2029 FT goal</w:t>
      </w:r>
      <w:r>
        <w:t xml:space="preserve"> — </w:t>
      </w:r>
      <w:r>
        <w:t>On May 28, 2026, IBM disclosed a five-year $10B+ quantum investment, reinforcing its 2029 target for the Starling fault-tolerant machine and the Anderon quantum foundry partnership with the US Department of Commerce.</w:t>
      </w:r>
      <w:r>
        <w:rPr>
          <w:color w:val="0969DA"/>
          <w:sz w:val="16"/>
        </w:rPr>
        <w:t xml:space="preserve">  (https://newsroom.ibm.com/ibm-and-u-s-department-of-commerce-announce-americas-first-purpose-built-quantum-foundry)</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Logical qubits beat physical qubits on diff. eq. (Pasqal)</w:t>
      </w:r>
      <w:r>
        <w:t xml:space="preserve"> — </w:t>
      </w:r>
      <w:r>
        <w:t>Pasqal published a May 21, 2026 result showing logical-qubit encodings on its neutral-atom processor outperformed physical-qubit baselines on differential equations by ~50% on average (up to 10x on hard cases) — a first end-to-end real-world logical-qubit application on neutral atoms.</w:t>
      </w:r>
      <w:r>
        <w:rPr>
          <w:color w:val="0969DA"/>
          <w:sz w:val="16"/>
        </w:rPr>
        <w:t xml:space="preserve">  (https://thequantuminsider.com/2026/05/22/pasqal-demonstrates-logical-qubits-outperform-physical-qubits-solving-differential-equations/)</w:t>
      </w:r>
    </w:p>
    <w:p>
      <w:pPr>
        <w:spacing w:after="40"/>
      </w:pPr>
      <w:r>
        <w:rPr>
          <w:b/>
          <w:color w:val="9A6700"/>
          <w:sz w:val="18"/>
        </w:rPr>
        <w:t xml:space="preserve">[Updated fact]  </w:t>
      </w:r>
      <w:r>
        <w:rPr>
          <w:i/>
          <w:color w:val="57606A"/>
          <w:sz w:val="18"/>
        </w:rPr>
        <w:t xml:space="preserve">#08 Quantum error correction (logical qubits below threshold)  </w:t>
      </w:r>
    </w:p>
    <w:p>
      <w:pPr>
        <w:spacing w:after="80"/>
        <w:ind w:left="360"/>
      </w:pPr>
      <w:r>
        <w:rPr>
          <w:b/>
        </w:rPr>
        <w:t>PsiQuantum signs $100M CHIPS LOI with US DoC</w:t>
      </w:r>
      <w:r>
        <w:t xml:space="preserve"> — </w:t>
      </w:r>
      <w:r>
        <w:t>On May 21, 2026, PsiQuantum signed an LOI with the US Department of Commerce for $100M in proposed CHIPS Act incentives to develop fault-tolerant photonic-quantum components (barium titanate switches, single-photon detectors, packaging).</w:t>
      </w:r>
      <w:r>
        <w:rPr>
          <w:color w:val="0969DA"/>
          <w:sz w:val="16"/>
        </w:rPr>
        <w:t xml:space="preserve">  (https://thequantuminsider.com/2026/05/21/psiquantum-signs-100-million-letter-of-intent-with-the-u-s-department-of-commerce/)</w:t>
      </w:r>
    </w:p>
    <w:p>
      <w:pPr>
        <w:spacing w:after="40"/>
      </w:pPr>
      <w:r>
        <w:rPr>
          <w:b/>
          <w:color w:val="0E6E6F"/>
          <w:sz w:val="18"/>
        </w:rPr>
        <w:t xml:space="preserve">[New watch pick]  </w:t>
      </w:r>
      <w:r>
        <w:rPr>
          <w:i/>
          <w:color w:val="57606A"/>
          <w:sz w:val="18"/>
        </w:rPr>
        <w:t xml:space="preserve">#13 Fusion energy  </w:t>
      </w:r>
    </w:p>
    <w:p>
      <w:pPr>
        <w:spacing w:after="80"/>
        <w:ind w:left="360"/>
      </w:pPr>
      <w:r>
        <w:rPr>
          <w:b/>
        </w:rPr>
        <w:t>Thea Energy raises $100M for stellarator prototype</w:t>
      </w:r>
      <w:r>
        <w:t xml:space="preserve"> — </w:t>
      </w:r>
      <w:r>
        <w:t>On May 27, 2026, Thea Energy closed a $100M round led by Prelude Ventures with US Innovative Technology and General Innovation Capital Partners to build a demonstration project for its planar-coil stellarator approach.</w:t>
      </w:r>
      <w:r>
        <w:rPr>
          <w:color w:val="0969DA"/>
          <w:sz w:val="16"/>
        </w:rPr>
        <w:t xml:space="preserve">  (https://www.bloomberg.com/news/articles/2026-05-27/fusion-startup-thea-raises-100-million-to-build-prototype)</w:t>
      </w:r>
    </w:p>
    <w:p>
      <w:pPr>
        <w:spacing w:after="40"/>
      </w:pPr>
      <w:r>
        <w:rPr>
          <w:b/>
          <w:color w:val="9A6700"/>
          <w:sz w:val="18"/>
        </w:rPr>
        <w:t xml:space="preserve">[Updated fact]  </w:t>
      </w:r>
      <w:r>
        <w:rPr>
          <w:i/>
          <w:color w:val="57606A"/>
          <w:sz w:val="18"/>
        </w:rPr>
        <w:t xml:space="preserve">#15 AI accelerators / advanced compute  </w:t>
      </w:r>
    </w:p>
    <w:p>
      <w:pPr>
        <w:spacing w:after="80"/>
        <w:ind w:left="360"/>
      </w:pPr>
      <w:r>
        <w:rPr>
          <w:b/>
        </w:rPr>
        <w:t>Cerebras stock rebounds post-IPO; $66B valuation holds</w:t>
      </w:r>
      <w:r>
        <w:t xml:space="preserve"> — </w:t>
      </w:r>
      <w:r>
        <w:t>Cerebras (NASDAQ: CBRS) jumped 10.4% on May 27, 2026 to close at $266.90 after a four-day losing streak. IPO priced at $185 on May 13, raising $5.55B at $66B+ valuation; $20B OpenAI capacity deal in place.</w:t>
      </w:r>
      <w:r>
        <w:rPr>
          <w:color w:val="0969DA"/>
          <w:sz w:val="16"/>
        </w:rPr>
        <w:t xml:space="preserve">  (https://www.theregister.com/ai-ml/2026/05/15/cerebras-wafer-scale-ai-bet-delivers-blockbuster-ipo/5240821)</w:t>
      </w:r>
    </w:p>
    <w:p>
      <w:pPr>
        <w:spacing w:after="40"/>
      </w:pPr>
      <w:r>
        <w:rPr>
          <w:b/>
          <w:color w:val="57606A"/>
          <w:sz w:val="18"/>
        </w:rPr>
        <w:t xml:space="preserve">[TRENDING_IDEA]  </w:t>
      </w:r>
    </w:p>
    <w:p>
      <w:pPr>
        <w:spacing w:after="80"/>
        <w:ind w:left="360"/>
      </w:pPr>
      <w:r>
        <w:rPr>
          <w:b/>
        </w:rPr>
        <w:t>World models go mainstream as the next AI frontier</w:t>
      </w:r>
      <w:r>
        <w:t xml:space="preserve"> — </w:t>
      </w:r>
      <w:r>
        <w:t>Multiple independent signals converged on 'world models' as the next paradigm beyond LLMs: Fortune's May 20 feature on why top AI names are betting billions on world models, MIT Tech Review's 'Top 10 Things That Matter in AI' (May 12) listing world models, Jim Fan's AI Ascent talk pivoting NVIDIA robotics from VLA to video-first World Action Models, and a May 25 LeCun-group arXiv paper on when LeJEPA learns a world model.</w:t>
      </w:r>
      <w:r>
        <w:rPr>
          <w:color w:val="0969DA"/>
          <w:sz w:val="16"/>
        </w:rPr>
        <w:t xml:space="preserve">  (https://fortune.com/2026/05/20/physical-ai-world-models-research-nvidia-google-fei-fei-li-yann-lecun/)</w:t>
      </w:r>
      <w:r>
        <w:rPr>
          <w:color w:val="0969DA"/>
          <w:sz w:val="16"/>
        </w:rPr>
        <w:t xml:space="preserve">  (https://www.technologyreview.com/2026/05/12/1137134/world-models-10-things-that-matter-in-ai-right-now/)</w:t>
      </w:r>
      <w:r>
        <w:rPr>
          <w:color w:val="0969DA"/>
          <w:sz w:val="16"/>
        </w:rPr>
        <w:t xml:space="preserve">  (https://cryptobriefing.com/lejepa-world-model-conditions-lecun/)</w:t>
      </w:r>
      <w:r>
        <w:rPr>
          <w:color w:val="0969DA"/>
          <w:sz w:val="16"/>
        </w:rPr>
        <w:t xml:space="preserve">  (https://www.humanoidsdaily.com/news/the-great-parallel-nvidia-s-jim-fan-outlines-the-robotics-end-game-strategy)</w:t>
      </w:r>
    </w:p>
    <w:p>
      <w:pPr>
        <w:spacing w:after="40"/>
      </w:pPr>
      <w:r>
        <w:rPr>
          <w:b/>
          <w:color w:val="57606A"/>
          <w:sz w:val="18"/>
        </w:rPr>
        <w:t xml:space="preserve">[TRENDING_IDEA]  </w:t>
      </w:r>
    </w:p>
    <w:p>
      <w:pPr>
        <w:spacing w:after="80"/>
        <w:ind w:left="360"/>
      </w:pPr>
      <w:r>
        <w:rPr>
          <w:b/>
        </w:rPr>
        <w:t>Token-cost anxiety: agentic coding burning AI budgets</w:t>
      </w:r>
      <w:r>
        <w:t xml:space="preserve"> — </w:t>
      </w:r>
      <w:r>
        <w:t>Multiple independent signals this week framed the same thesis — agentic coding is dramatically more expensive than chat/reasoning workloads. Fortune (May 22) covered Microsoft reports showing AI agents can cost more than human employees, Azeem Azhar's Exponential View (May 21) titled a post 'Bye, bye fixed costs. Hello, token anxiety,' and Vantage/Stanford research quantified the ~1000x token gap vs. code chat.</w:t>
      </w:r>
      <w:r>
        <w:rPr>
          <w:color w:val="0969DA"/>
          <w:sz w:val="16"/>
        </w:rPr>
        <w:t xml:space="preserve">  (https://fortune.com/2026/05/22/microsoft-ai-cost-problem-tokens-agents/)</w:t>
      </w:r>
      <w:r>
        <w:rPr>
          <w:color w:val="0969DA"/>
          <w:sz w:val="16"/>
        </w:rPr>
        <w:t xml:space="preserve">  (https://www.exponentialview.co/p/bye-bye-fixed-costs-hello-token-anxiety)</w:t>
      </w:r>
      <w:r>
        <w:rPr>
          <w:color w:val="0969DA"/>
          <w:sz w:val="16"/>
        </w:rPr>
        <w:t xml:space="preserve">  (https://www.vantage.sh/blog/agentic-coding-costs)</w:t>
      </w:r>
    </w:p>
    <w:p>
      <w:pPr>
        <w:spacing w:after="40"/>
      </w:pPr>
      <w:r>
        <w:rPr>
          <w:b/>
          <w:color w:val="57606A"/>
          <w:sz w:val="18"/>
        </w:rPr>
        <w:t xml:space="preserve">[BROAD_SCAN]  </w:t>
      </w:r>
    </w:p>
    <w:p>
      <w:pPr>
        <w:spacing w:after="80"/>
        <w:ind w:left="360"/>
      </w:pPr>
      <w:r>
        <w:rPr>
          <w:b/>
        </w:rPr>
        <w:t>Fervo Energy completes $1.89B clean-energy IPO at $10B+</w:t>
      </w:r>
      <w:r>
        <w:t xml:space="preserve"> — </w:t>
      </w:r>
      <w:r>
        <w:t>On May 12-13, 2026, Fervo Energy priced and debuted the largest-ever clean-energy IPO, raising $1.89B at $27/share, closing up 35% on day one for a market cap above $10B. The Bill Gates-backed enhanced geothermal company is positioned as the leading 24/7 firm clean power source for AI data centers.</w:t>
      </w:r>
      <w:r>
        <w:rPr>
          <w:color w:val="0969DA"/>
          <w:sz w:val="16"/>
        </w:rPr>
        <w:t xml:space="preserve">  (https://www.bloomberg.com/news/articles/2026-05-13/geothermal-energy-firm-fervo-rises-33-after-1-89-billion-ipo)</w:t>
      </w:r>
      <w:r>
        <w:rPr>
          <w:color w:val="0969DA"/>
          <w:sz w:val="16"/>
        </w:rPr>
        <w:t xml:space="preserve">  (https://fortune.com/2026/05/14/fervo-clean-energy-biggest-ipo-10b-valuation-powered-earths-heat-ai-hunger/)</w:t>
      </w:r>
    </w:p>
    <w:p>
      <w:pPr>
        <w:spacing w:after="40"/>
      </w:pPr>
      <w:r>
        <w:rPr>
          <w:b/>
          <w:color w:val="57606A"/>
          <w:sz w:val="18"/>
        </w:rPr>
        <w:t xml:space="preserve">[BROAD_SCAN]  </w:t>
      </w:r>
    </w:p>
    <w:p>
      <w:pPr>
        <w:spacing w:after="80"/>
        <w:ind w:left="360"/>
      </w:pPr>
      <w:r>
        <w:rPr>
          <w:b/>
        </w:rPr>
        <w:t>EU draft transparency guidelines for AI-generated content</w:t>
      </w:r>
      <w:r>
        <w:t xml:space="preserve"> — </w:t>
      </w:r>
      <w:r>
        <w:t>On May 8, 2026, the European Commission published draft guidelines on Article 50 of the EU AI Act, clarifying that transparency labels for synthetic content must be clear, distinguishable, and repeated over time — not just at the opening of a video.</w:t>
      </w:r>
      <w:r>
        <w:rPr>
          <w:color w:val="0969DA"/>
          <w:sz w:val="16"/>
        </w:rPr>
        <w:t xml:space="preserve">  (https://www.insideglobaltech.com/2026/05/12/10-takeaways-european-commission-draft-guidelines-on-ai-transparency-under-the-eu-ai-act/)</w:t>
      </w:r>
    </w:p>
    <w:p>
      <w:pPr>
        <w:spacing w:after="40"/>
      </w:pPr>
      <w:r>
        <w:rPr>
          <w:b/>
          <w:color w:val="57606A"/>
          <w:sz w:val="18"/>
        </w:rPr>
        <w:t xml:space="preserve">[BROAD_SCAN]  </w:t>
      </w:r>
    </w:p>
    <w:p>
      <w:pPr>
        <w:spacing w:after="80"/>
        <w:ind w:left="360"/>
      </w:pPr>
      <w:r>
        <w:rPr>
          <w:b/>
        </w:rPr>
        <w:t>Joby enters Stage 5 (final) of FAA eVTOL type certification</w:t>
      </w:r>
      <w:r>
        <w:t xml:space="preserve"> — </w:t>
      </w:r>
      <w:r>
        <w:t>By late May 2026, Joby Aviation cleared Stage 4 of FAA Type Certification (airworthiness conformity review) and entered Stage 5, the final phase. Targets full TC by September 2026 and late-2026 commercial launch with Delta in NYC and LA.</w:t>
      </w:r>
      <w:r>
        <w:rPr>
          <w:color w:val="0969DA"/>
          <w:sz w:val="16"/>
        </w:rPr>
        <w:t xml:space="preserve">  (https://www.aircraftinsider.com/joby-aviation-clears-faa-stage-4-certification-commercial-evtol-passenger-flights-could-launch-by-end-of-2026/)</w:t>
      </w:r>
    </w:p>
    <w:p>
      <w:pPr>
        <w:spacing w:after="40"/>
      </w:pPr>
      <w:r>
        <w:rPr>
          <w:b/>
          <w:color w:val="57606A"/>
          <w:sz w:val="18"/>
        </w:rPr>
        <w:t xml:space="preserve">[BROAD_SCAN]  </w:t>
      </w:r>
    </w:p>
    <w:p>
      <w:pPr>
        <w:spacing w:after="80"/>
        <w:ind w:left="360"/>
      </w:pPr>
      <w:r>
        <w:rPr>
          <w:b/>
        </w:rPr>
        <w:t>Frontier AI hits inflection in vulnerability discovery (Palo Alto)</w:t>
      </w:r>
      <w:r>
        <w:t xml:space="preserve"> — </w:t>
      </w:r>
      <w:r>
        <w:t>Palo Alto Networks' May 2026 patch advisory disclosed 26 CVEs covering 75 issues (vs. usual &lt;5/month) — the majority of findings came from frontier AI models scanning their own codebase for the first time, a concrete inflection in AI-in-cybersecurity.</w:t>
      </w:r>
      <w:r>
        <w:rPr>
          <w:color w:val="0969DA"/>
          <w:sz w:val="16"/>
        </w:rPr>
        <w:t xml:space="preserve">  (https://www.paloaltonetworks.com/blog/2026/05/defenders-guide-frontier-ai-impact-cybersecurity-may-2026-update/)</w:t>
      </w:r>
    </w:p>
    <w:p>
      <w:pPr>
        <w:spacing w:after="40"/>
      </w:pPr>
      <w:r>
        <w:rPr>
          <w:b/>
          <w:color w:val="57606A"/>
          <w:sz w:val="18"/>
        </w:rPr>
        <w:t xml:space="preserve">[NEW_VOICE]  </w:t>
      </w:r>
    </w:p>
    <w:p>
      <w:pPr>
        <w:spacing w:after="80"/>
        <w:ind w:left="360"/>
      </w:pPr>
      <w:r>
        <w:rPr>
          <w:b/>
        </w:rPr>
        <w:t>Sholto Douglas — go-to voice on RL-for-reasoning</w:t>
      </w:r>
      <w:r>
        <w:t xml:space="preserve"> — </w:t>
      </w:r>
      <w:r>
        <w:t>Anthropic researcher Sholto Douglas appeared on Dwarkesh Patel's podcast May 23 and has rapidly become the most-cited explainer of RL on reasoning traces, with the episode crossing 1M views and clips reshared by Karpathy, Lambert, and Chollet.</w:t>
      </w:r>
      <w:r>
        <w:rPr>
          <w:color w:val="0969DA"/>
          <w:sz w:val="16"/>
        </w:rPr>
        <w:t xml:space="preserve">  (https://www.dwarkeshpatel.com/p/sholto-douglas-trenton-bricken-2026)</w:t>
      </w:r>
      <w:r>
        <w:rPr>
          <w:color w:val="0969DA"/>
          <w:sz w:val="16"/>
        </w:rPr>
        <w:t xml:space="preserve">  (https://x.com/_sholtodouglas)</w:t>
      </w:r>
    </w:p>
    <w:p>
      <w:r>
        <w:br w:type="page"/>
      </w:r>
    </w:p>
    <w:p>
      <w:pPr>
        <w:pStyle w:val="Heading1"/>
      </w:pPr>
      <w:r>
        <w:t>Weekly history</w:t>
      </w:r>
    </w:p>
    <w:p>
      <w:r>
        <w:rPr>
          <w:i/>
        </w:rPr>
        <w:t>All 9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2026-05-29.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w:t>
      </w:r>
    </w:p>
    <w:p>
      <w:pPr>
        <w:spacing w:after="160"/>
        <w:ind w:left="216"/>
      </w:pPr>
      <w:r>
        <w:rPr>
          <w:b/>
        </w:rPr>
        <w:t xml:space="preserve">Watch: </w:t>
      </w:r>
      <w:r>
        <w:t>Tenstorrent (Series B (2024) led by Khosla Ventures and others)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