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0"/>
        </w:rPr>
        <w:t>Big Ideas — Weekly Highlights</w:t>
      </w:r>
    </w:p>
    <w:p>
      <w:r>
        <w:rPr>
          <w:color w:val="57606A"/>
          <w:sz w:val="20"/>
        </w:rPr>
        <w:t>Tech breakthroughs tracker · as of 2026-06-16 · 16 breakthroughs · 15 weekly entries</w:t>
      </w:r>
    </w:p>
    <w:p/>
    <w:p>
      <w:pPr>
        <w:pStyle w:val="Heading1"/>
      </w:pPr>
      <w:r>
        <w:t>Latest run · week ending 2026-06-16</w:t>
      </w:r>
    </w:p>
    <w:p>
      <w:r>
        <w:rPr>
          <w:b/>
        </w:rPr>
        <w:t xml:space="preserve">Kind: </w:t>
      </w:r>
      <w:r>
        <w:t>WEEKLY_UPDATE</w:t>
      </w:r>
      <w:r>
        <w:t xml:space="preserve"> · </w:t>
      </w:r>
      <w:r>
        <w:rPr>
          <w:i/>
        </w:rPr>
        <w:t>Generated 2026-06-18T21:14:25</w:t>
      </w:r>
    </w:p>
    <w:p>
      <w:r>
        <w:rPr>
          <w:sz w:val="22"/>
        </w:rPr>
        <w:t>Capture Ideogram as a tracked text-to-image player (previously only referenced incidentally via the Transformer Lab kernel paper): a NEW_WATCH for the company and a NEW_FRONTIER for the Ideogram 4.0 open-weight 9.3B diffusion-transformer release (Jun 3, 2026).</w:t>
      </w:r>
    </w:p>
    <w:p>
      <w:pPr>
        <w:spacing w:after="40"/>
      </w:pPr>
      <w:r>
        <w:rPr>
          <w:b/>
        </w:rPr>
        <w:t xml:space="preserve">  • New breakthroughs: </w:t>
      </w:r>
      <w:r>
        <w:t>0</w:t>
      </w:r>
    </w:p>
    <w:p>
      <w:pPr>
        <w:spacing w:after="40"/>
      </w:pPr>
      <w:r>
        <w:rPr>
          <w:b/>
        </w:rPr>
        <w:t xml:space="preserve">  • New sub-ideas: </w:t>
      </w:r>
      <w:r>
        <w:t>0</w:t>
      </w:r>
    </w:p>
    <w:p>
      <w:pPr>
        <w:spacing w:after="40"/>
      </w:pPr>
      <w:r>
        <w:rPr>
          <w:b/>
        </w:rPr>
        <w:t xml:space="preserve">  • New frontier results: </w:t>
      </w:r>
      <w:r>
        <w:t>1</w:t>
      </w:r>
    </w:p>
    <w:p>
      <w:pPr>
        <w:spacing w:after="40"/>
      </w:pPr>
      <w:r>
        <w:rPr>
          <w:b/>
        </w:rPr>
        <w:t xml:space="preserve">  • New watch picks: </w:t>
      </w:r>
      <w:r>
        <w:t>1</w:t>
      </w:r>
    </w:p>
    <w:p>
      <w:pPr>
        <w:spacing w:after="40"/>
      </w:pPr>
      <w:r>
        <w:rPr>
          <w:b/>
        </w:rPr>
        <w:t xml:space="preserve">  • New people: </w:t>
      </w:r>
      <w:r>
        <w:t>0</w:t>
      </w:r>
    </w:p>
    <w:p>
      <w:pPr>
        <w:spacing w:after="40"/>
      </w:pPr>
      <w:r>
        <w:rPr>
          <w:b/>
        </w:rPr>
        <w:t xml:space="preserve">  • Updated facts: </w:t>
      </w:r>
      <w:r>
        <w:t>0</w:t>
      </w:r>
    </w:p>
    <w:p>
      <w:pPr>
        <w:pStyle w:val="Heading2"/>
      </w:pPr>
      <w:r>
        <w:t>Highlights</w:t>
      </w:r>
    </w:p>
    <w:p>
      <w:pPr>
        <w:spacing w:after="40"/>
      </w:pPr>
      <w:r>
        <w:rPr>
          <w:b/>
          <w:color w:val="0E6E6F"/>
          <w:sz w:val="18"/>
        </w:rPr>
        <w:t xml:space="preserve">[New watch pick]  </w:t>
      </w:r>
      <w:r>
        <w:rPr>
          <w:i/>
          <w:color w:val="57606A"/>
          <w:sz w:val="18"/>
        </w:rPr>
        <w:t xml:space="preserve">#03 Diffusion models (image + video generation)  </w:t>
      </w:r>
    </w:p>
    <w:p>
      <w:pPr>
        <w:spacing w:after="80"/>
        <w:ind w:left="360"/>
      </w:pPr>
      <w:r>
        <w:rPr>
          <w:b/>
        </w:rPr>
        <w:t>Ideogram — text-to-image player (best-in-class text rendering, open-weight 4.0)</w:t>
      </w:r>
      <w:r>
        <w:t xml:space="preserve"> — </w:t>
      </w:r>
      <w:r>
        <w:t>Ideogram (Toronto, ~70 staff) is a leading text-to-image company known for best-in-class text rendering; it has raised $96.5M over two rounds (incl. a16z) and in Jun 2026 shipped Ideogram 4.0 as an open-weight frontier model. Previously absent from the board's diffusion watch-list alongside Midjourney/Runway/Stability.</w:t>
      </w:r>
      <w:r>
        <w:rPr>
          <w:color w:val="0969DA"/>
          <w:sz w:val="16"/>
        </w:rPr>
        <w:t xml:space="preserve">  (https://ideogram.ai/news/ideogram-4.0/)</w:t>
      </w:r>
      <w:r>
        <w:rPr>
          <w:color w:val="0969DA"/>
          <w:sz w:val="16"/>
        </w:rPr>
        <w:t xml:space="preserve">  (https://en.wikipedia.org/wiki/Ideogram_(text-to-image_model))</w:t>
      </w:r>
    </w:p>
    <w:p>
      <w:pPr>
        <w:spacing w:after="40"/>
      </w:pPr>
      <w:r>
        <w:rPr>
          <w:b/>
          <w:color w:val="0969DA"/>
          <w:sz w:val="18"/>
        </w:rPr>
        <w:t xml:space="preserve">[New frontier result]  </w:t>
      </w:r>
      <w:r>
        <w:rPr>
          <w:i/>
          <w:color w:val="57606A"/>
          <w:sz w:val="18"/>
        </w:rPr>
        <w:t xml:space="preserve">#03 Diffusion models (image + video generation)  </w:t>
      </w:r>
    </w:p>
    <w:p>
      <w:pPr>
        <w:spacing w:after="80"/>
        <w:ind w:left="360"/>
      </w:pPr>
      <w:r>
        <w:rPr>
          <w:b/>
        </w:rPr>
        <w:t>Ideogram 4.0: open-weight 9.3B single-stream diffusion transformer</w:t>
      </w:r>
      <w:r>
        <w:t xml:space="preserve"> — </w:t>
      </w:r>
      <w:r>
        <w:t>On Jun 3, 2026 Ideogram released 4.0 — described as the first open-weight text-to-image model trained from scratch at this scale (9.3B single-stream DiT, commercial license), explicitly aiming to close the quality gap between proprietary frontier image models and the open ecosystem.</w:t>
      </w:r>
      <w:r>
        <w:rPr>
          <w:color w:val="0969DA"/>
          <w:sz w:val="16"/>
        </w:rPr>
        <w:t xml:space="preserve">  (https://ideogram.ai/news/ideogram-4.0/)</w:t>
      </w:r>
    </w:p>
    <w:p>
      <w:r>
        <w:br w:type="page"/>
      </w:r>
    </w:p>
    <w:p>
      <w:pPr>
        <w:pStyle w:val="Heading1"/>
      </w:pPr>
      <w:r>
        <w:t>Weekly history</w:t>
      </w:r>
    </w:p>
    <w:p>
      <w:r>
        <w:rPr>
          <w:i/>
        </w:rPr>
        <w:t>All 15 entries (newest first). Each row aggregates the additions logged in state.json for that week.</w:t>
      </w:r>
    </w:p>
    <w:tbl>
      <w:tblPr>
        <w:tblStyle w:val="TableGrid"/>
        <w:tblW w:type="auto" w:w="0"/>
        <w:tblLook w:firstColumn="1" w:firstRow="1" w:lastColumn="0" w:lastRow="0" w:noHBand="0" w:noVBand="1" w:val="04A0"/>
      </w:tblPr>
      <w:tblGrid>
        <w:gridCol w:w="2340"/>
        <w:gridCol w:w="2340"/>
        <w:gridCol w:w="2340"/>
        <w:gridCol w:w="2340"/>
      </w:tblGrid>
      <w:tr>
        <w:tc>
          <w:tcPr>
            <w:tcW w:type="dxa" w:w="1440"/>
            <w:shd w:val="clear" w:color="auto" w:fill="0D1117"/>
          </w:tcPr>
          <w:p>
            <w:r/>
            <w:r>
              <w:rPr>
                <w:b/>
                <w:color w:val="FFFFFF"/>
                <w:sz w:val="18"/>
              </w:rPr>
              <w:t>Week ending</w:t>
            </w:r>
          </w:p>
        </w:tc>
        <w:tc>
          <w:tcPr>
            <w:tcW w:type="dxa" w:w="1440"/>
            <w:shd w:val="clear" w:color="auto" w:fill="0D1117"/>
          </w:tcPr>
          <w:p>
            <w:r/>
            <w:r>
              <w:rPr>
                <w:b/>
                <w:color w:val="FFFFFF"/>
                <w:sz w:val="18"/>
              </w:rPr>
              <w:t>Kind</w:t>
            </w:r>
          </w:p>
        </w:tc>
        <w:tc>
          <w:tcPr>
            <w:tcW w:type="dxa" w:w="4896"/>
            <w:shd w:val="clear" w:color="auto" w:fill="0D1117"/>
          </w:tcPr>
          <w:p>
            <w:r/>
            <w:r>
              <w:rPr>
                <w:b/>
                <w:color w:val="FFFFFF"/>
                <w:sz w:val="18"/>
              </w:rPr>
              <w:t>Summary</w:t>
            </w:r>
          </w:p>
        </w:tc>
        <w:tc>
          <w:tcPr>
            <w:tcW w:type="dxa" w:w="1584"/>
            <w:shd w:val="clear" w:color="auto" w:fill="0D1117"/>
          </w:tcPr>
          <w:p>
            <w:r/>
            <w:r>
              <w:rPr>
                <w:b/>
                <w:color w:val="FFFFFF"/>
                <w:sz w:val="18"/>
              </w:rPr>
              <w:t>Additions</w:t>
            </w:r>
          </w:p>
        </w:tc>
      </w:tr>
      <w:tr>
        <w:tc>
          <w:tcPr>
            <w:tcW w:type="dxa" w:w="1440"/>
          </w:tcPr>
          <w:p>
            <w:r>
              <w:rPr>
                <w:sz w:val="18"/>
              </w:rPr>
              <w:t>2026-06-16</w:t>
            </w:r>
          </w:p>
        </w:tc>
        <w:tc>
          <w:tcPr>
            <w:tcW w:type="dxa" w:w="1440"/>
          </w:tcPr>
          <w:p>
            <w:r>
              <w:rPr>
                <w:sz w:val="18"/>
              </w:rPr>
              <w:t>WEEKLY_UPDATE</w:t>
            </w:r>
          </w:p>
        </w:tc>
        <w:tc>
          <w:tcPr>
            <w:tcW w:type="dxa" w:w="4896"/>
          </w:tcPr>
          <w:p>
            <w:r>
              <w:rPr>
                <w:sz w:val="18"/>
              </w:rPr>
              <w:t>Capture Ideogram as a tracked text-to-image player (previously only referenced incidentally via the Transformer Lab kernel paper): a NEW_WATCH for the company and a NEW_FRONTIER for the Ideogram 4.0 open-weight 9.3B diffusion-transformer release (Jun 3, 2026).</w:t>
            </w:r>
          </w:p>
        </w:tc>
        <w:tc>
          <w:tcPr>
            <w:tcW w:type="dxa" w:w="1584"/>
          </w:tcPr>
          <w:p>
            <w:r>
              <w:rPr>
                <w:sz w:val="18"/>
              </w:rPr>
              <w:t>+1 frt  +1 wch</w:t>
            </w:r>
          </w:p>
        </w:tc>
      </w:tr>
      <w:tr>
        <w:tc>
          <w:tcPr>
            <w:tcW w:type="dxa" w:w="1440"/>
          </w:tcPr>
          <w:p>
            <w:r>
              <w:rPr>
                <w:sz w:val="18"/>
              </w:rPr>
              <w:t>2026-06-16</w:t>
            </w:r>
          </w:p>
        </w:tc>
        <w:tc>
          <w:tcPr>
            <w:tcW w:type="dxa" w:w="1440"/>
          </w:tcPr>
          <w:p>
            <w:r>
              <w:rPr>
                <w:sz w:val="18"/>
              </w:rPr>
              <w:t>WEEKLY_UPDATE</w:t>
            </w:r>
          </w:p>
        </w:tc>
        <w:tc>
          <w:tcPr>
            <w:tcW w:type="dxa" w:w="4896"/>
          </w:tcPr>
          <w:p>
            <w:r>
              <w:rPr>
                <w:sz w:val="18"/>
              </w:rPr>
              <w:t>Ad-hoc placement of two Transformer Lab items: the fused-INT8 diffusion-kernel paper (a quantization/efficiency result on consumer GPUs) and Transformer Lab itself (lab.cloud), an open-source ML experimentation/compute-orchestration platform. Both multi-labelled into existing categories.</w:t>
            </w:r>
          </w:p>
        </w:tc>
        <w:tc>
          <w:tcPr>
            <w:tcW w:type="dxa" w:w="1584"/>
          </w:tcPr>
          <w:p>
            <w:r>
              <w:rPr>
                <w:sz w:val="18"/>
              </w:rPr>
              <w:t>+1 frt  +1 wch</w:t>
            </w:r>
          </w:p>
        </w:tc>
      </w:tr>
      <w:tr>
        <w:tc>
          <w:tcPr>
            <w:tcW w:type="dxa" w:w="1440"/>
          </w:tcPr>
          <w:p>
            <w:r>
              <w:rPr>
                <w:sz w:val="18"/>
              </w:rPr>
              <w:t>2026-06-12</w:t>
            </w:r>
          </w:p>
        </w:tc>
        <w:tc>
          <w:tcPr>
            <w:tcW w:type="dxa" w:w="1440"/>
          </w:tcPr>
          <w:p>
            <w:r>
              <w:rPr>
                <w:sz w:val="18"/>
              </w:rPr>
              <w:t>WEEKLY_UPDATE</w:t>
            </w:r>
          </w:p>
        </w:tc>
        <w:tc>
          <w:tcPr>
            <w:tcW w:type="dxa" w:w="4896"/>
          </w:tcPr>
          <w:p>
            <w:r>
              <w:rPr>
                <w:sz w:val="18"/>
              </w:rPr>
              <w:t>BACKFILL / catch-up batch: five high-traction research directions that the weekly scan should have surfaced earlier on traction grounds (citations, paper-club selection, follow-on work), flagged after a YC Paper Club review (François Chaubard) highlighted them. These are NOT new-this-week items — underlying papers range from May 2025 to Feb 2026 — but each is a validated, picking-up, breakthrough-like idea. Confidence levels are noted per item; AxiomProver/Putnam and VoiceAgentRAG latency figures are medium-confidence and warrant a second look before being treated as settled.</w:t>
            </w:r>
          </w:p>
        </w:tc>
        <w:tc>
          <w:tcPr>
            <w:tcW w:type="dxa" w:w="1584"/>
          </w:tcPr>
          <w:p>
            <w:r>
              <w:rPr>
                <w:sz w:val="18"/>
              </w:rPr>
              <w:t>+1 sub  +2 frt</w:t>
            </w:r>
          </w:p>
        </w:tc>
      </w:tr>
      <w:tr>
        <w:tc>
          <w:tcPr>
            <w:tcW w:type="dxa" w:w="1440"/>
          </w:tcPr>
          <w:p>
            <w:r>
              <w:rPr>
                <w:sz w:val="18"/>
              </w:rPr>
              <w:t>2026-06-12</w:t>
            </w:r>
          </w:p>
        </w:tc>
        <w:tc>
          <w:tcPr>
            <w:tcW w:type="dxa" w:w="1440"/>
          </w:tcPr>
          <w:p>
            <w:r>
              <w:rPr>
                <w:sz w:val="18"/>
              </w:rPr>
              <w:t>WEEKLY_UPDATE</w:t>
            </w:r>
          </w:p>
        </w:tc>
        <w:tc>
          <w:tcPr>
            <w:tcW w:type="dxa" w:w="4896"/>
          </w:tcPr>
          <w:p>
            <w:r>
              <w:rPr>
                <w:sz w:val="18"/>
              </w:rPr>
              <w:t>The week was dominated by AI: Anthropic released Claude Fable 5 (the public face of its new 'Mythos-class' tier), which immediately set off a field-wide controversy after its system card disclosed covert response-degradation ('sandbagging') for frontier-AI research tasks — a policy Anthropic reversed within days. That episode crystallized a trending thesis, voiced by Nathan Lambert and rising policy analyst Dean Ball among others, that lab 'safety' moves are increasingly seen as cover for anti-competitive behavior. Biology's news clustered at ADA 2026, where Lilly's retatrutide hit 28.3% weight loss in Phase 3 and its oral orforglipron beat oral semaglutide head-to-head, while amylin agonism and muscle-preservation emerged as the post-GLP-1 frontier. On the physical side, the Quantinuum/Microsoft 800x logical-qubit result was formally published in Nature, IQM unveiled qLDPC 'barbell codes,' Falcon 9 booster B1067 flew a record 35th time, and the US DOE released its finalized national fusion roadmap targeting commercial power in the mid-2030s.</w:t>
            </w:r>
          </w:p>
        </w:tc>
        <w:tc>
          <w:tcPr>
            <w:tcW w:type="dxa" w:w="1584"/>
          </w:tcPr>
          <w:p>
            <w:r>
              <w:rPr>
                <w:sz w:val="18"/>
              </w:rPr>
              <w:t>+4 sub  +3 frt  +3 wch</w:t>
            </w:r>
          </w:p>
        </w:tc>
      </w:tr>
      <w:tr>
        <w:tc>
          <w:tcPr>
            <w:tcW w:type="dxa" w:w="1440"/>
          </w:tcPr>
          <w:p>
            <w:r>
              <w:rPr>
                <w:sz w:val="18"/>
              </w:rPr>
              <w:t>2026-06-05</w:t>
            </w:r>
          </w:p>
        </w:tc>
        <w:tc>
          <w:tcPr>
            <w:tcW w:type="dxa" w:w="1440"/>
          </w:tcPr>
          <w:p>
            <w:r>
              <w:rPr>
                <w:sz w:val="18"/>
              </w:rPr>
              <w:t>WEEKLY_UPDATE</w:t>
            </w:r>
          </w:p>
        </w:tc>
        <w:tc>
          <w:tcPr>
            <w:tcW w:type="dxa" w:w="4896"/>
          </w:tcPr>
          <w:p>
            <w:r>
              <w:rPr>
                <w:sz w:val="18"/>
              </w:rPr>
              <w:t>Structural addition (not a weekly diff): created breakthrough #16 'AI dev ecosystem &amp; agent primitives' to track the recurring wave of new developer primitives in the agent stack — MCP -&gt; Agent Skills -&gt; subagents -&gt; agent-orchestration apps -&gt; agent SDKs/evals. This category captures successful/trending tooling (e.g. Conductor) that the paper/product-focused pipeline was missing.</w:t>
            </w:r>
          </w:p>
        </w:tc>
        <w:tc>
          <w:tcPr>
            <w:tcW w:type="dxa" w:w="1584"/>
          </w:tcPr>
          <w:p>
            <w:r>
              <w:rPr>
                <w:sz w:val="18"/>
              </w:rPr>
              <w:t>+1 brk</w:t>
            </w:r>
          </w:p>
        </w:tc>
      </w:tr>
      <w:tr>
        <w:tc>
          <w:tcPr>
            <w:tcW w:type="dxa" w:w="1440"/>
          </w:tcPr>
          <w:p>
            <w:r>
              <w:rPr>
                <w:sz w:val="18"/>
              </w:rPr>
              <w:t>2026-06-05</w:t>
            </w:r>
          </w:p>
        </w:tc>
        <w:tc>
          <w:tcPr>
            <w:tcW w:type="dxa" w:w="1440"/>
          </w:tcPr>
          <w:p>
            <w:r>
              <w:rPr>
                <w:sz w:val="18"/>
              </w:rPr>
              <w:t>WEEKLY_UPDATE</w:t>
            </w:r>
          </w:p>
        </w:tc>
        <w:tc>
          <w:tcPr>
            <w:tcW w:type="dxa" w:w="4896"/>
          </w:tcPr>
          <w:p>
            <w:r>
              <w:rPr>
                <w:sz w:val="18"/>
              </w:rPr>
              <w:t>ADA 2026 and Computex dominated the week. On obesity, the field broadened beyond incretins: Boehringer's survodutide hit 16.6% weight loss at 76 weeks (SYNCHRONIZE-1), Innovent's mazdutide beat semaglutide head-to-head (DREAMS-3), and Roche surfaced amylin analogs (petrelintide) as a tolerability-differentiated class, while Moderna/Merck's intismeran melanoma vaccine posted strong 5-year survival at ASCO. In AI, two open-weight releases reset the frontier-China narrative — MiniMax M3 (1M-context sparse attention, 59% SWE-Bench Pro) and NVIDIA Cosmos 3 (two-tower world model) — and Unitree cleared a China STAR Market IPO while becoming NVIDIA's GR00T reference humanoid. On the physical side, Focused Energy closed a $240M laser-fusion Series A, NVIDIA unveiled the RTX Spark client AI superchip, SpaceX's OCISLY drone ship logged its 200th catch, and Blue Origin vowed New Glenn return-to-flight before year-end. The week's clearest thesis-level trend is 'context/eval engineering as the new agent bottleneck'; new voice David Klindt (Cold Spring Harbor) rose on a machine-checked Lean-4 proof of when JEPA world models recover true latents.</w:t>
            </w:r>
          </w:p>
        </w:tc>
        <w:tc>
          <w:tcPr>
            <w:tcW w:type="dxa" w:w="1584"/>
          </w:tcPr>
          <w:p>
            <w:r>
              <w:rPr>
                <w:sz w:val="18"/>
              </w:rPr>
              <w:t>+3 sub  +3 frt  +2 wch  +1 ppl</w:t>
            </w:r>
          </w:p>
        </w:tc>
      </w:tr>
      <w:tr>
        <w:tc>
          <w:tcPr>
            <w:tcW w:type="dxa" w:w="1440"/>
          </w:tcPr>
          <w:p>
            <w:r>
              <w:rPr>
                <w:sz w:val="18"/>
              </w:rPr>
              <w:t>2026-05-29</w:t>
            </w:r>
          </w:p>
        </w:tc>
        <w:tc>
          <w:tcPr>
            <w:tcW w:type="dxa" w:w="1440"/>
          </w:tcPr>
          <w:p>
            <w:r>
              <w:rPr>
                <w:sz w:val="18"/>
              </w:rPr>
              <w:t>WEEKLY_UPDATE</w:t>
            </w:r>
          </w:p>
        </w:tc>
        <w:tc>
          <w:tcPr>
            <w:tcW w:type="dxa" w:w="4896"/>
          </w:tcPr>
          <w:p>
            <w:r>
              <w:rPr>
                <w:sz w:val="18"/>
              </w:rPr>
              <w:t>Big week. Anthropic released Claude Opus 4.8 and disclosed a record $65B Series H, while Karpathy joined its pretraining team — the consolidation of frontier-AI talent and capital at one lab is the story of the quarter. Bio delivered two landmark readouts: Lilly's PCSK9 base editor VERVE-102 cut LDL-C by up to 62% in a single dose and Lilly's triple-agonist retatrutide hit 28.3% weight loss in TRIUMPH-1. SpaceX flew the first Starship V3, Blue Origin lost a New Glenn on the pad in a static-fire failure, and IBM committed $10B to a 2029 fault-tolerant quantum machine. Two clear trending ideas crystallized this week: 'world models as the next paradigm beyond LLMs' (LeCun group's LeJEPA theory paper, Jim Fan's AI Ascent talk, Fortune feature) and 'token-cost anxiety' (Microsoft, Vantage, Exponential View all hitting the same thesis that agentic-coding economics break the SaaS model).</w:t>
            </w:r>
          </w:p>
        </w:tc>
        <w:tc>
          <w:tcPr>
            <w:tcW w:type="dxa" w:w="1584"/>
          </w:tcPr>
          <w:p>
            <w:r>
              <w:rPr>
                <w:sz w:val="18"/>
              </w:rPr>
              <w:t>+2 sub  +5 frt  +2 wch  +1 ppl</w:t>
            </w:r>
          </w:p>
        </w:tc>
      </w:tr>
      <w:tr>
        <w:tc>
          <w:tcPr>
            <w:tcW w:type="dxa" w:w="1440"/>
          </w:tcPr>
          <w:p>
            <w:r>
              <w:rPr>
                <w:sz w:val="18"/>
              </w:rPr>
              <w:t>2026-05-22</w:t>
            </w:r>
          </w:p>
        </w:tc>
        <w:tc>
          <w:tcPr>
            <w:tcW w:type="dxa" w:w="1440"/>
          </w:tcPr>
          <w:p>
            <w:r>
              <w:rPr>
                <w:sz w:val="18"/>
              </w:rPr>
              <w:t>WEEKLY_UPDATE</w:t>
            </w:r>
          </w:p>
        </w:tc>
        <w:tc>
          <w:tcPr>
            <w:tcW w:type="dxa" w:w="4896"/>
          </w:tcPr>
          <w:p>
            <w:r>
              <w:rPr>
                <w:sz w:val="18"/>
              </w:rPr>
              <w:t>Google I/O dominated the AI week (May 19-20): Gemini 3.5 Flash claimed frontier-rival agentic-coding scores at ~4x speed and Gemini Omni launched as a multimodal world-model series — feeding a now-consensus 'world models as the post-LLM frontier' thesis crystallized by Fortune, the Royal Society, and Fei-Fei Li/LeCun commentary. Two more theses hit critical mass: Ben Thompson's 'two kinds of inference' (answer vs. agentic, with bifurcated silicon) and 'data-center community opposition as structural AI-capex risk' (Gallup: 70% oppose, 69 active moratoriums). Hardware and quantum saw an industrial-policy bombshell on May 21 — IBM + U.S. Department of Commerce launched Anderon, the first US-purpose-built quantum foundry, as part of a ~$2B CHIPS distribution to nine quantum vendors; NVIDIA's Q1 FY27 print (May 20) hit $81.6B revenue, confirmed Vera Rubin shipping Q3 2026, and tripled capital returns. In bio, Lilly's TRIUMPH-1 Phase 3 (May 21) put retatrutide at 28.3% mean weight loss at 80 weeks — the first injectable to reach bariatric-surgery-class loss in a pivotal trial — while a Baker-lab Nature review declared the core problems of de novo protein design 'close to solved' and Johns Hopkins reported sub-20-minute intraoperative BCI mapping with &gt;1,000-electrode micro-ECoG arrays. SpaceX scrubbed the first Starship V3 flight on May 21 (tower-arm hydraulic pin), retargeting May 22. Waymo had a humbling counterpoint: it paused all freeway robotaxi rides plus four Sun Belt cities on May 21 after construction-zone and flooded-road incidents. New voice added: Nathan Lambert (Interconnects, Ai2 post-training).</w:t>
            </w:r>
          </w:p>
        </w:tc>
        <w:tc>
          <w:tcPr>
            <w:tcW w:type="dxa" w:w="1584"/>
          </w:tcPr>
          <w:p>
            <w:r>
              <w:rPr>
                <w:sz w:val="18"/>
              </w:rPr>
              <w:t>+5 sub  +5 frt  +2 wch</w:t>
            </w:r>
          </w:p>
        </w:tc>
      </w:tr>
      <w:tr>
        <w:tc>
          <w:tcPr>
            <w:tcW w:type="dxa" w:w="1440"/>
          </w:tcPr>
          <w:p>
            <w:r>
              <w:rPr>
                <w:sz w:val="18"/>
              </w:rPr>
              <w:t>2026-05-18</w:t>
            </w:r>
          </w:p>
        </w:tc>
        <w:tc>
          <w:tcPr>
            <w:tcW w:type="dxa" w:w="1440"/>
          </w:tcPr>
          <w:p>
            <w:r>
              <w:rPr>
                <w:sz w:val="18"/>
              </w:rPr>
              <w:t>BASE_RUN</w:t>
            </w:r>
          </w:p>
        </w:tc>
        <w:tc>
          <w:tcPr>
            <w:tcW w:type="dxa" w:w="4896"/>
          </w:tcPr>
          <w:p>
            <w:r>
              <w:rPr>
                <w:sz w:val="18"/>
              </w:rPr>
              <w:t>Seeded 'voices' section with 16 curated thinkers across AI, bio, energy, space, and macro tech.</w:t>
            </w:r>
          </w:p>
        </w:tc>
        <w:tc>
          <w:tcPr>
            <w:tcW w:type="dxa" w:w="1584"/>
          </w:tcPr>
          <w:p>
            <w:r>
              <w:rPr>
                <w:sz w:val="18"/>
              </w:rPr>
              <w:t>—</w:t>
            </w:r>
          </w:p>
        </w:tc>
      </w:tr>
      <w:tr>
        <w:tc>
          <w:tcPr>
            <w:tcW w:type="dxa" w:w="1440"/>
          </w:tcPr>
          <w:p>
            <w:r>
              <w:rPr>
                <w:sz w:val="18"/>
              </w:rPr>
              <w:t>2026-05-15</w:t>
            </w:r>
          </w:p>
        </w:tc>
        <w:tc>
          <w:tcPr>
            <w:tcW w:type="dxa" w:w="1440"/>
          </w:tcPr>
          <w:p>
            <w:r>
              <w:rPr>
                <w:sz w:val="18"/>
              </w:rPr>
              <w:t>WEEKLY_UPDATE</w:t>
            </w:r>
          </w:p>
        </w:tc>
        <w:tc>
          <w:tcPr>
            <w:tcW w:type="dxa" w:w="4896"/>
          </w:tcPr>
          <w:p>
            <w:r>
              <w:rPr>
                <w:sz w:val="18"/>
              </w:rPr>
              <w:t>Heavy commercialization week across bio and AI infrastructure. In bio: Isomorphic Labs closed a $2.1B Series B led by Thrive Capital — one of the largest private AI-drug-discovery rounds on record — while Intellia opened a rolling BLA for lonvo-z (first-ever in vivo CRISPR product, US launch tracking H1 2027), Editas reported &gt;=90% LDL-C reduction in NHPs for EDIT-401 at ASGCT, Viking presented 12.2% 13-week weight loss for oral VK2735 at ECO 2026, and Neuralink signaled a next-gen 'whole-brain' surgical robot. In AI/robotics: Waymo expanded to 1,400 sq mi across 11 metros (FIFA World Cup readiness), Figure ran a full 8-hour fully autonomous package-sorting shift on Helix-02, China's ROBOTERA closed &gt;$200M led by SF Group, and Google launched Gemini Intelligence as an OS-level agent for Android. Energy/quantum: CATL announced a 40 GWh sodium-ion expansion, BNEF confirmed energy storage entered the '100 GW era' in 2025, Ford launched a 20 GWh/yr LFP grid-storage subsidiary, IonQ shareholders approved the $1.8B SkyWater acquisition, and Google added Marvell as a third TPU partner targeting ~2M inference MPUs. Agent D flagged three adjacencies: Archer's UAE Restricted Type Certificate path (first eVTOL on this pathway), the EU AI Act omnibus simplification (and nudification ban), and an HKU ultra-stainless-steel claim that could cut seawater-electrolysis structural costs ~40x.</w:t>
            </w:r>
          </w:p>
        </w:tc>
        <w:tc>
          <w:tcPr>
            <w:tcW w:type="dxa" w:w="1584"/>
          </w:tcPr>
          <w:p>
            <w:r>
              <w:rPr>
                <w:sz w:val="18"/>
              </w:rPr>
              <w:t>+2 sub  +2 frt  +3 wch</w:t>
            </w:r>
          </w:p>
        </w:tc>
      </w:tr>
      <w:tr>
        <w:tc>
          <w:tcPr>
            <w:tcW w:type="dxa" w:w="1440"/>
          </w:tcPr>
          <w:p>
            <w:r>
              <w:rPr>
                <w:sz w:val="18"/>
              </w:rPr>
              <w:t>2026-05-08</w:t>
            </w:r>
          </w:p>
        </w:tc>
        <w:tc>
          <w:tcPr>
            <w:tcW w:type="dxa" w:w="1440"/>
          </w:tcPr>
          <w:p>
            <w:r>
              <w:rPr>
                <w:sz w:val="18"/>
              </w:rPr>
              <w:t>WEEKLY_UPDATE</w:t>
            </w:r>
          </w:p>
        </w:tc>
        <w:tc>
          <w:tcPr>
            <w:tcW w:type="dxa" w:w="4896"/>
          </w:tcPr>
          <w:p>
            <w:r>
              <w:rPr>
                <w:sz w:val="18"/>
              </w:rPr>
              <w:t>Intra-day supplement to the morning's run: three primary-source items the AM scan missed. Anthropic took all of SpaceX's Colossus 1 (May 6) — 300+ MW / 220K+ NVIDIA GPUs immediately, plus stated interest in multi-GW orbital compute — and used the new headroom to double Claude Code rate limits and raise Opus API limits. Anthropic Interpretability published Natural Language Autoencoders (May 7), an unsupervised method that translates Claude's residual-stream activations into readable text and was already used in the Mythos Preview and Opus 4.6 alignment audits. OpenAI opened GPT-5.5-Cyber to vetted defenders via Trusted Access for Cyber (May 7), the most-permissive cyber variant yet, with Cisco and CrowdStrike as launch partners.</w:t>
            </w:r>
          </w:p>
        </w:tc>
        <w:tc>
          <w:tcPr>
            <w:tcW w:type="dxa" w:w="1584"/>
          </w:tcPr>
          <w:p>
            <w:r>
              <w:rPr>
                <w:sz w:val="18"/>
              </w:rPr>
              <w:t>+1 sub  +2 frt</w:t>
            </w:r>
          </w:p>
        </w:tc>
      </w:tr>
      <w:tr>
        <w:tc>
          <w:tcPr>
            <w:tcW w:type="dxa" w:w="1440"/>
          </w:tcPr>
          <w:p>
            <w:r>
              <w:rPr>
                <w:sz w:val="18"/>
              </w:rPr>
              <w:t>2026-05-08</w:t>
            </w:r>
          </w:p>
        </w:tc>
        <w:tc>
          <w:tcPr>
            <w:tcW w:type="dxa" w:w="1440"/>
          </w:tcPr>
          <w:p>
            <w:r>
              <w:rPr>
                <w:sz w:val="18"/>
              </w:rPr>
              <w:t>WEEKLY_UPDATE</w:t>
            </w:r>
          </w:p>
        </w:tc>
        <w:tc>
          <w:tcPr>
            <w:tcW w:type="dxa" w:w="4896"/>
          </w:tcPr>
          <w:p>
            <w:r>
              <w:rPr>
                <w:sz w:val="18"/>
              </w:rPr>
              <w:t>Heavy week across AI infra, AI hardware, quantum, and bio. OpenAI shipped GPT-5.5 Instant (52.5% hallucination reduction) and a new GPT-Realtime-2 voice stack; Anthropic stood up a $1.5B enterprise-AI JV with Blackstone, H&amp;F, and Goldman; Allen Institute released MolmoAct2 (open bimanual VLA) and Figure ramped Figure 03 to roughly 1 robot/hour. Cerebras filed for a $26.6B IPO with a multi-year OpenAI compute deal, and IBM marked a decade of cloud-quantum while quantum-simulating a 12,635-atom protein with Cleveland Clinic + RIKEN. In bio, Isomorphic Labs published its IsoDDE drug-design engine doubling AlphaFold 3 protein-ligand accuracy, Synchron became the first BCI to land native Apple HID integration, and AACR readouts showed personalized neoantigen mRNA vaccines durable in pancreatic Phase 1. In space and energy, Rocket Lab booked a record multi-Neutron deal and Zap Energy pivoted to a hybrid fission-fusion strategy. Agent D's broad scan returned a Joby Manhattan eVTOL demo and Fervo's $1.33B geothermal IPO filing.</w:t>
            </w:r>
          </w:p>
        </w:tc>
        <w:tc>
          <w:tcPr>
            <w:tcW w:type="dxa" w:w="1584"/>
          </w:tcPr>
          <w:p>
            <w:r>
              <w:rPr>
                <w:sz w:val="18"/>
              </w:rPr>
              <w:t>+3 sub  +5 frt  +3 wch</w:t>
            </w:r>
          </w:p>
        </w:tc>
      </w:tr>
      <w:tr>
        <w:tc>
          <w:tcPr>
            <w:tcW w:type="dxa" w:w="1440"/>
          </w:tcPr>
          <w:p>
            <w:r>
              <w:rPr>
                <w:sz w:val="18"/>
              </w:rPr>
              <w:t>2026-05-08</w:t>
            </w:r>
          </w:p>
        </w:tc>
        <w:tc>
          <w:tcPr>
            <w:tcW w:type="dxa" w:w="1440"/>
          </w:tcPr>
          <w:p>
            <w:r>
              <w:rPr>
                <w:sz w:val="18"/>
              </w:rPr>
              <w:t>WEEKLY_UPDATE</w:t>
            </w:r>
          </w:p>
        </w:tc>
        <w:tc>
          <w:tcPr>
            <w:tcW w:type="dxa" w:w="4896"/>
          </w:tcPr>
          <w:p>
            <w:r>
              <w:rPr>
                <w:sz w:val="18"/>
              </w:rPr>
              <w:t>Quietly busy week dominated by AI-tooling, quantum, and clinical-bio progress. AWS shipped a managed MCP server for AWS APIs; three reasoning-RL papers hit arXiv (sparse-policy, scaling-exponent, and search-driven reward optimization); QuEra/Harvard/MIT demonstrated a 2:1 physical-to-logical qubit ratio and NVIDIA released open AI models for QEC decoding/calibration; CRISPR Therapeutics reported $43M Q1 Casgevy revenue with 500+ patients on therapy; Neuralink unveiled a high-throughput automated implant robot; and IRENA published an updated outlook showing firm 24/7 solar+storage at $54-82/MWh.</w:t>
            </w:r>
          </w:p>
        </w:tc>
        <w:tc>
          <w:tcPr>
            <w:tcW w:type="dxa" w:w="1584"/>
          </w:tcPr>
          <w:p>
            <w:r>
              <w:rPr>
                <w:sz w:val="18"/>
              </w:rPr>
              <w:t>+3 sub  +6 frt</w:t>
            </w:r>
          </w:p>
        </w:tc>
      </w:tr>
      <w:tr>
        <w:tc>
          <w:tcPr>
            <w:tcW w:type="dxa" w:w="1440"/>
          </w:tcPr>
          <w:p>
            <w:r>
              <w:rPr>
                <w:sz w:val="18"/>
              </w:rPr>
              <w:t>2026-05-08</w:t>
            </w:r>
          </w:p>
        </w:tc>
        <w:tc>
          <w:tcPr>
            <w:tcW w:type="dxa" w:w="1440"/>
          </w:tcPr>
          <w:p>
            <w:r>
              <w:rPr>
                <w:sz w:val="18"/>
              </w:rPr>
              <w:t>BASE_RUN</w:t>
            </w:r>
          </w:p>
        </w:tc>
        <w:tc>
          <w:tcPr>
            <w:tcW w:type="dxa" w:w="4896"/>
          </w:tcPr>
          <w:p>
            <w:r>
              <w:rPr>
                <w:sz w:val="18"/>
              </w:rPr>
              <w:t>Base set extended with four new breakthroughs: added humanoid robotics (#12), fusion energy (#13), brain-computer interfaces (#14), AI accelerators / advanced compute (#15). Two new domains introduced (ROBOTICS, HARDWARE).</w:t>
            </w:r>
          </w:p>
        </w:tc>
        <w:tc>
          <w:tcPr>
            <w:tcW w:type="dxa" w:w="1584"/>
          </w:tcPr>
          <w:p>
            <w:r>
              <w:rPr>
                <w:sz w:val="18"/>
              </w:rPr>
              <w:t>+4 brk</w:t>
            </w:r>
          </w:p>
        </w:tc>
      </w:tr>
      <w:tr>
        <w:tc>
          <w:tcPr>
            <w:tcW w:type="dxa" w:w="1440"/>
          </w:tcPr>
          <w:p>
            <w:r>
              <w:rPr>
                <w:sz w:val="18"/>
              </w:rPr>
              <w:t>2026-05-08</w:t>
            </w:r>
          </w:p>
        </w:tc>
        <w:tc>
          <w:tcPr>
            <w:tcW w:type="dxa" w:w="1440"/>
          </w:tcPr>
          <w:p>
            <w:r>
              <w:rPr>
                <w:sz w:val="18"/>
              </w:rPr>
              <w:t>BASE_RUN</w:t>
            </w:r>
          </w:p>
        </w:tc>
        <w:tc>
          <w:tcPr>
            <w:tcW w:type="dxa" w:w="4896"/>
          </w:tcPr>
          <w:p>
            <w:r>
              <w:rPr>
                <w:sz w:val="18"/>
              </w:rPr>
              <w:t>Initial base-truth capture across 11 breakthroughs: 62 named people, 56 sub-ideas, 55 frontier bullets, 39 watch-list picks, 150 unique source URLs.</w:t>
            </w:r>
          </w:p>
        </w:tc>
        <w:tc>
          <w:tcPr>
            <w:tcW w:type="dxa" w:w="1584"/>
          </w:tcPr>
          <w:p>
            <w:r>
              <w:rPr>
                <w:sz w:val="18"/>
              </w:rPr>
              <w:t>+11 brk</w:t>
            </w:r>
          </w:p>
        </w:tc>
      </w:tr>
    </w:tbl>
    <w:p>
      <w:r>
        <w:br w:type="page"/>
      </w:r>
    </w:p>
    <w:p>
      <w:pPr>
        <w:pStyle w:val="Heading1"/>
      </w:pPr>
      <w:r>
        <w:t>Current snapshot — by breakthrough</w:t>
      </w:r>
    </w:p>
    <w:p>
      <w:r>
        <w:t>Snapshot of state.json as of 2026-06-16. Each breakthrough lists current sub-ideas and most recent watch pick.</w:t>
      </w:r>
    </w:p>
    <w:p>
      <w:r>
        <w:rPr>
          <w:b/>
          <w:sz w:val="22"/>
        </w:rPr>
        <w:t xml:space="preserve">#01  Transformers / LLMs / coding agents  </w:t>
      </w:r>
      <w:r>
        <w:rPr>
          <w:color w:val="57606A"/>
          <w:sz w:val="18"/>
        </w:rPr>
        <w:t>[AI]</w:t>
      </w:r>
    </w:p>
    <w:p>
      <w:pPr>
        <w:spacing w:after="40"/>
      </w:pPr>
      <w:r>
        <w:rPr>
          <w:b/>
        </w:rPr>
        <w:t xml:space="preserve">Impact: </w:t>
      </w:r>
      <w:r>
        <w:t>Transformers and LLMs have enabled agentic AI systems that autonomously solve software engineering tasks, with frontier models now matching or exceeding professional developer capabilities on real-world codebase tasks.</w:t>
      </w:r>
    </w:p>
    <w:p>
      <w:pPr>
        <w:spacing w:after="40"/>
        <w:ind w:left="216"/>
      </w:pPr>
      <w:r>
        <w:rPr>
          <w:b/>
        </w:rPr>
        <w:t xml:space="preserve">Sub-ideas: </w:t>
      </w:r>
      <w:r>
        <w:t>Coding agents · Mixture-of-Experts (MoE) · Long-context windows · Multimodal frontier models · Open-weight catch-up · Model Context Protocol (MCP) · AWS MCP Server (managed) · GPT-Realtime-2 voice stack · OpenAI GPT-5.5-Cyber (Trusted Access for Cyber) · OS-native agentic AI layer · Streaming / predictive RAG for voice agents</w:t>
      </w:r>
    </w:p>
    <w:p>
      <w:pPr>
        <w:spacing w:after="160"/>
        <w:ind w:left="216"/>
      </w:pPr>
      <w:r>
        <w:rPr>
          <w:b/>
        </w:rPr>
        <w:t xml:space="preserve">Watch: </w:t>
      </w:r>
      <w:r>
        <w:t>Cursor (Anysphere) (Series D, $29.3B valuation (2026))</w:t>
      </w:r>
    </w:p>
    <w:p>
      <w:r>
        <w:rPr>
          <w:b/>
          <w:sz w:val="22"/>
        </w:rPr>
        <w:t xml:space="preserve">#02  RLHF + reasoning models (test-time compute scaling)  </w:t>
      </w:r>
      <w:r>
        <w:rPr>
          <w:color w:val="57606A"/>
          <w:sz w:val="18"/>
        </w:rPr>
        <w:t>[AI]</w:t>
      </w:r>
    </w:p>
    <w:p>
      <w:pPr>
        <w:spacing w:after="40"/>
      </w:pPr>
      <w:r>
        <w:rPr>
          <w:b/>
        </w:rPr>
        <w:t xml:space="preserve">Impact: </w:t>
      </w:r>
      <w:r>
        <w:t>Reasoning models with test-time compute scaling have fundamentally shifted AI capability distribution from training time to inference time, enabling smaller models to solve previously intractable problems in mathematics, coding, and science while achieving cost-competitive inference.</w:t>
      </w:r>
    </w:p>
    <w:p>
      <w:pPr>
        <w:spacing w:after="40"/>
        <w:ind w:left="216"/>
      </w:pPr>
      <w:r>
        <w:rPr>
          <w:b/>
        </w:rPr>
        <w:t xml:space="preserve">Sub-ideas: </w:t>
      </w:r>
      <w:r>
        <w:t>Test-time compute scaling · Pure-RL reasoning (R1-Zero recipe) · RLHF → RLAIF → Constitutional AI · Reasoning distillation · Agentic reasoning + tool use · Step-wise rubric rewards (SRaR) · Token-level credit assignment for RLVR · Equilibrium Reasoners (latent-attractor TTC) · Long-horizon autonomous agentic reasoning · Autonomous scientific hypothesis generation</w:t>
      </w:r>
    </w:p>
    <w:p>
      <w:pPr>
        <w:spacing w:after="160"/>
        <w:ind w:left="216"/>
      </w:pPr>
      <w:r>
        <w:rPr>
          <w:b/>
        </w:rPr>
        <w:t xml:space="preserve">Watch: </w:t>
      </w:r>
      <w:r>
        <w:t>xAI Grok 5 (Private; xAI acquired by SpaceX in February 2026)</w:t>
      </w:r>
    </w:p>
    <w:p>
      <w:r>
        <w:rPr>
          <w:b/>
          <w:sz w:val="22"/>
        </w:rPr>
        <w:t xml:space="preserve">#03  Diffusion models (image + video generation)  </w:t>
      </w:r>
      <w:r>
        <w:rPr>
          <w:color w:val="57606A"/>
          <w:sz w:val="18"/>
        </w:rPr>
        <w:t>[AI]</w:t>
      </w:r>
    </w:p>
    <w:p>
      <w:pPr>
        <w:spacing w:after="40"/>
      </w:pPr>
      <w:r>
        <w:rPr>
          <w:b/>
        </w:rPr>
        <w:t xml:space="preserve">Impact: </w:t>
      </w:r>
      <w:r>
        <w:t>Diffusion transformers have democratized high-quality image and video generation, enabling consumer-accessible creative tools that generate photorealistic content at scale while emerging world models show potential for physics-aware simulation applicable to autonomous systems and robotics.</w:t>
      </w:r>
    </w:p>
    <w:p>
      <w:pPr>
        <w:spacing w:after="40"/>
        <w:ind w:left="216"/>
      </w:pPr>
      <w:r>
        <w:rPr>
          <w:b/>
        </w:rPr>
        <w:t xml:space="preserve">Sub-ideas: </w:t>
      </w:r>
      <w:r>
        <w:t>Latent diffusion · Diffusion transformers (DiT) · Long-form video generation · World models · One-step / real-time generation · World-grounded omni video generation</w:t>
      </w:r>
    </w:p>
    <w:p>
      <w:pPr>
        <w:spacing w:after="160"/>
        <w:ind w:left="216"/>
      </w:pPr>
      <w:r>
        <w:rPr>
          <w:b/>
        </w:rPr>
        <w:t xml:space="preserve">Watch: </w:t>
      </w:r>
      <w:r>
        <w:t>Stability AI Cascade Model (Venture-backed; facing financial difficulties since 2024)</w:t>
      </w:r>
    </w:p>
    <w:p>
      <w:r>
        <w:rPr>
          <w:b/>
          <w:sz w:val="22"/>
        </w:rPr>
        <w:t xml:space="preserve">#04  AlphaFold + computational protein design  </w:t>
      </w:r>
      <w:r>
        <w:rPr>
          <w:color w:val="57606A"/>
          <w:sz w:val="18"/>
        </w:rPr>
        <w:t>[BIO]</w:t>
      </w:r>
    </w:p>
    <w:p>
      <w:pPr>
        <w:spacing w:after="40"/>
      </w:pPr>
      <w:r>
        <w:rPr>
          <w:b/>
        </w:rPr>
        <w:t xml:space="preserve">Impact: </w:t>
      </w:r>
      <w:r>
        <w:t>AlphaFold and computational design have accelerated protein engineering from random selection to intentional computational design, enabling discovery of novel therapeutics, enzymes, and materials while achieving Nobel Prize recognition in 2024.</w:t>
      </w:r>
    </w:p>
    <w:p>
      <w:pPr>
        <w:spacing w:after="40"/>
        <w:ind w:left="216"/>
      </w:pPr>
      <w:r>
        <w:rPr>
          <w:b/>
        </w:rPr>
        <w:t xml:space="preserve">Sub-ideas: </w:t>
      </w:r>
      <w:r>
        <w:t>AlphaFold2 — single-chain folding · AlphaFold3 — multimodal complexes · De novo design with RFdiffusion · Enzyme design · Protein language models</w:t>
      </w:r>
    </w:p>
    <w:p>
      <w:pPr>
        <w:spacing w:after="160"/>
        <w:ind w:left="216"/>
      </w:pPr>
      <w:r>
        <w:rPr>
          <w:b/>
        </w:rPr>
        <w:t xml:space="preserve">Watch: </w:t>
      </w:r>
      <w:r>
        <w:t>Chai Discovery (Series B: $130M (Oak HC/FT, General Catalyst); Series A: $70M (Menlo Ventures); Total ~$231M)</w:t>
      </w:r>
    </w:p>
    <w:p>
      <w:r>
        <w:rPr>
          <w:b/>
          <w:sz w:val="22"/>
        </w:rPr>
        <w:t xml:space="preserve">#05  mRNA vaccines + LNP delivery  </w:t>
      </w:r>
      <w:r>
        <w:rPr>
          <w:color w:val="57606A"/>
          <w:sz w:val="18"/>
        </w:rPr>
        <w:t>[BIO]</w:t>
      </w:r>
    </w:p>
    <w:p>
      <w:pPr>
        <w:spacing w:after="40"/>
      </w:pPr>
      <w:r>
        <w:rPr>
          <w:b/>
        </w:rPr>
        <w:t xml:space="preserve">Impact: </w:t>
      </w:r>
      <w:r>
        <w:t>mRNA vaccines with LNP delivery have moved from basic science proof-of-concept (Karikó/Weissman 2005) to &gt;13 billion COVID-19 doses and now expanding into personalized cancer vaccines with multi-year survival benefits.</w:t>
      </w:r>
    </w:p>
    <w:p>
      <w:pPr>
        <w:spacing w:after="40"/>
        <w:ind w:left="216"/>
      </w:pPr>
      <w:r>
        <w:rPr>
          <w:b/>
        </w:rPr>
        <w:t xml:space="preserve">Sub-ideas: </w:t>
      </w:r>
      <w:r>
        <w:t>Pseudouridine-modified mRNA · Lipid nanoparticle (LNP) delivery · Personalized cancer vaccines · In vivo CAR-T via mRNA-LNP · Self-amplifying &amp; circular RNA · Reduced-reactogenicity LNP-mRNA · OspA mRNA-LNP (Lyme) · Personalized neoantigen mRNA cancer vaccines</w:t>
      </w:r>
    </w:p>
    <w:p>
      <w:pPr>
        <w:spacing w:after="160"/>
        <w:ind w:left="216"/>
      </w:pPr>
      <w:r>
        <w:rPr>
          <w:b/>
        </w:rPr>
        <w:t xml:space="preserve">Watch: </w:t>
      </w:r>
      <w:r>
        <w:t>Moderna/Merck cancer vaccine program (Funded by Moderna ($10B+ annual R&amp;D) and Merck partnership)</w:t>
      </w:r>
    </w:p>
    <w:p>
      <w:r>
        <w:rPr>
          <w:b/>
          <w:sz w:val="22"/>
        </w:rPr>
        <w:t xml:space="preserve">#06  GLP-1 agonists  </w:t>
      </w:r>
      <w:r>
        <w:rPr>
          <w:color w:val="57606A"/>
          <w:sz w:val="18"/>
        </w:rPr>
        <w:t>[BIO]</w:t>
      </w:r>
    </w:p>
    <w:p>
      <w:pPr>
        <w:spacing w:after="40"/>
      </w:pPr>
      <w:r>
        <w:rPr>
          <w:b/>
        </w:rPr>
        <w:t xml:space="preserve">Impact: </w:t>
      </w:r>
      <w:r>
        <w:t>GLP-1 agonists have revolutionized type 2 diabetes and obesity treatment, shifting paradigm from symptomatic glycemic control to weight loss-driven metabolic improvement, with &gt;$20B annual market value by 2026.</w:t>
      </w:r>
    </w:p>
    <w:p>
      <w:pPr>
        <w:spacing w:after="40"/>
        <w:ind w:left="216"/>
      </w:pPr>
      <w:r>
        <w:rPr>
          <w:b/>
        </w:rPr>
        <w:t xml:space="preserve">Sub-ideas: </w:t>
      </w:r>
      <w:r>
        <w:t>Semaglutide (mono GLP-1) · Tirzepatide (dual GIP/GLP-1) · Retatrutide (triple agonist) · Oral GLP-1s · Indication expansion · Amylin analogs as next-wave obesity therapeutics · Amylin agonism and muscle-preserving obesity combinations</w:t>
      </w:r>
    </w:p>
    <w:p>
      <w:pPr>
        <w:spacing w:after="160"/>
        <w:ind w:left="216"/>
      </w:pPr>
      <w:r>
        <w:rPr>
          <w:b/>
        </w:rPr>
        <w:t xml:space="preserve">Watch: </w:t>
      </w:r>
      <w:r>
        <w:t>Retatrutide clinical program (Eli Lilly) (Eli Lilly internal R&amp;D ($3B+ annual pharma R&amp;D))</w:t>
      </w:r>
    </w:p>
    <w:p>
      <w:r>
        <w:rPr>
          <w:b/>
          <w:sz w:val="22"/>
        </w:rPr>
        <w:t xml:space="preserve">#07  CRISPR therapies (Casgevy + base/prime editing)  </w:t>
      </w:r>
      <w:r>
        <w:rPr>
          <w:color w:val="57606A"/>
          <w:sz w:val="18"/>
        </w:rPr>
        <w:t>[BIO]</w:t>
      </w:r>
    </w:p>
    <w:p>
      <w:pPr>
        <w:spacing w:after="40"/>
      </w:pPr>
      <w:r>
        <w:rPr>
          <w:b/>
        </w:rPr>
        <w:t xml:space="preserve">Impact: </w:t>
      </w:r>
      <w:r>
        <w:t>Casgevy approval (December 2023) marked first FDA-approved CRISPR therapy; 23+ clinical trials now active with base/prime editing showing efficacy in rare genetic diseases and potential for broader indications.</w:t>
      </w:r>
    </w:p>
    <w:p>
      <w:pPr>
        <w:spacing w:after="40"/>
        <w:ind w:left="216"/>
      </w:pPr>
      <w:r>
        <w:rPr>
          <w:b/>
        </w:rPr>
        <w:t xml:space="preserve">Sub-ideas: </w:t>
      </w:r>
      <w:r>
        <w:t>Ex vivo CRISPR/Cas9 (Casgevy) · Base editing · Prime editing · In vivo CRISPR via LNP · Epigenome editing</w:t>
      </w:r>
    </w:p>
    <w:p>
      <w:pPr>
        <w:spacing w:after="160"/>
        <w:ind w:left="216"/>
      </w:pPr>
      <w:r>
        <w:rPr>
          <w:b/>
        </w:rPr>
        <w:t xml:space="preserve">Watch: </w:t>
      </w:r>
      <w:r>
        <w:t>Prime Medicine (prime editing platform) (Series B: $200M+ (2022); backed by Jeff Bezos and others)</w:t>
      </w:r>
    </w:p>
    <w:p>
      <w:r>
        <w:rPr>
          <w:b/>
          <w:sz w:val="22"/>
        </w:rPr>
        <w:t xml:space="preserve">#08  Quantum error correction (logical qubits below threshold)  </w:t>
      </w:r>
      <w:r>
        <w:rPr>
          <w:color w:val="57606A"/>
          <w:sz w:val="18"/>
        </w:rPr>
        <w:t>[QUANTUM]</w:t>
      </w:r>
    </w:p>
    <w:p>
      <w:pPr>
        <w:spacing w:after="40"/>
      </w:pPr>
      <w:r>
        <w:rPr>
          <w:b/>
        </w:rPr>
        <w:t xml:space="preserve">Impact: </w:t>
      </w:r>
      <w:r>
        <w:t>Crossed theoretical threshold for scalable quantum computing; demonstrated exponential error suppression on real hardware for the first time, moving from physics milestone to engineering milestone.</w:t>
      </w:r>
    </w:p>
    <w:p>
      <w:pPr>
        <w:spacing w:after="40"/>
        <w:ind w:left="216"/>
      </w:pPr>
      <w:r>
        <w:rPr>
          <w:b/>
        </w:rPr>
        <w:t xml:space="preserve">Sub-ideas: </w:t>
      </w:r>
      <w:r>
        <w:t>Surface code below threshold · Logical qubits with virtualization · Bivariate bicycle / qLDPC codes · Cat qubits &amp; bosonic codes · Real-time decoding hardware · Logical-qubit advantage on real applications (neutral atoms) · Barbell codes (qLDPC)</w:t>
      </w:r>
    </w:p>
    <w:p>
      <w:pPr>
        <w:spacing w:after="160"/>
        <w:ind w:left="216"/>
      </w:pPr>
      <w:r>
        <w:rPr>
          <w:b/>
        </w:rPr>
        <w:t xml:space="preserve">Watch: </w:t>
      </w:r>
      <w:r>
        <w:t>PsiQuantum (Significant DARPA backing; private funding round details proprietary)</w:t>
      </w:r>
    </w:p>
    <w:p>
      <w:r>
        <w:rPr>
          <w:b/>
          <w:sz w:val="22"/>
        </w:rPr>
        <w:t xml:space="preserve">#09  Reusable rockets (Falcon 9 + Starship catch)  </w:t>
      </w:r>
      <w:r>
        <w:rPr>
          <w:color w:val="57606A"/>
          <w:sz w:val="18"/>
        </w:rPr>
        <w:t>[SPACE]</w:t>
      </w:r>
    </w:p>
    <w:p>
      <w:pPr>
        <w:spacing w:after="40"/>
      </w:pPr>
      <w:r>
        <w:rPr>
          <w:b/>
        </w:rPr>
        <w:t xml:space="preserve">Impact: </w:t>
      </w:r>
      <w:r>
        <w:t>Demonstrated booster reusability at scale (Falcon 9) and tower-catch recovery capability for heavy-lift (Starship/Mechazilla), reducing per-flight costs by 50%+ and enabling rapid cadence launch operations.</w:t>
      </w:r>
    </w:p>
    <w:p>
      <w:pPr>
        <w:spacing w:after="40"/>
        <w:ind w:left="216"/>
      </w:pPr>
      <w:r>
        <w:rPr>
          <w:b/>
        </w:rPr>
        <w:t xml:space="preserve">Sub-ideas: </w:t>
      </w:r>
      <w:r>
        <w:t>Falcon 9 booster reuse · Mechazilla booster catch (Starship) · Fully reusable upper stage · Fairing recovery · Heavy-lift competition opens up</w:t>
      </w:r>
    </w:p>
    <w:p>
      <w:pPr>
        <w:spacing w:after="160"/>
        <w:ind w:left="216"/>
      </w:pPr>
      <w:r>
        <w:rPr>
          <w:b/>
        </w:rPr>
        <w:t xml:space="preserve">Watch: </w:t>
      </w:r>
      <w:r>
        <w:t>Blue Origin New Glenn (Internal Blue Origin funding; Jeff Bezos backed)</w:t>
      </w:r>
    </w:p>
    <w:p>
      <w:r>
        <w:rPr>
          <w:b/>
          <w:sz w:val="22"/>
        </w:rPr>
        <w:t xml:space="preserve">#10  Renewables + battery cost collapse  </w:t>
      </w:r>
      <w:r>
        <w:rPr>
          <w:color w:val="57606A"/>
          <w:sz w:val="18"/>
        </w:rPr>
        <w:t>[ENERGY]</w:t>
      </w:r>
    </w:p>
    <w:p>
      <w:pPr>
        <w:spacing w:after="40"/>
      </w:pPr>
      <w:r>
        <w:rPr>
          <w:b/>
        </w:rPr>
        <w:t xml:space="preserve">Impact: </w:t>
      </w:r>
      <w:r>
        <w:t>Battery costs collapsed 80% since 2010 ($1,200 to $108/kWh); solar &amp; wind LCOE below fossil gas; renewable capacity additions accelerating; grid storage emerging as competitive energy arbitrage asset class.</w:t>
      </w:r>
    </w:p>
    <w:p>
      <w:pPr>
        <w:spacing w:after="40"/>
        <w:ind w:left="216"/>
      </w:pPr>
      <w:r>
        <w:rPr>
          <w:b/>
        </w:rPr>
        <w:t xml:space="preserve">Sub-ideas: </w:t>
      </w:r>
      <w:r>
        <w:t>Solar PV cost collapse · Lithium-ion battery price below $100/kWh · LFP chemistry takeover · Sodium-ion mass production · Long-duration storage (iron-air) · High-energy-density sodium-ion at GWh scale</w:t>
      </w:r>
    </w:p>
    <w:p>
      <w:pPr>
        <w:spacing w:after="160"/>
        <w:ind w:left="216"/>
      </w:pPr>
      <w:r>
        <w:rPr>
          <w:b/>
        </w:rPr>
        <w:t xml:space="preserve">Watch: </w:t>
      </w:r>
      <w:r>
        <w:t>BYD Sodium-Ion (Internal BYD funding; $37B+ market cap; profitable EV/battery leader)</w:t>
      </w:r>
    </w:p>
    <w:p>
      <w:r>
        <w:rPr>
          <w:b/>
          <w:sz w:val="22"/>
        </w:rPr>
        <w:t xml:space="preserve">#11  Self-driving cars / robotaxis  </w:t>
      </w:r>
      <w:r>
        <w:rPr>
          <w:color w:val="57606A"/>
          <w:sz w:val="18"/>
        </w:rPr>
        <w:t>[AI]</w:t>
      </w:r>
    </w:p>
    <w:p>
      <w:pPr>
        <w:spacing w:after="40"/>
      </w:pPr>
      <w:r>
        <w:rPr>
          <w:b/>
        </w:rPr>
        <w:t xml:space="preserve">Impact: </w:t>
      </w:r>
      <w:r>
        <w:t>Robotaxis crossed from pilot to scaled commercial reality between 2023–2025 — Waymo passing 4M paid driverless trips with peer-reviewed safety data, Tesla launching FSD-based robotaxis, and Aurora running fully driverless freight — finally validating a 15-year capital cycle.</w:t>
      </w:r>
    </w:p>
    <w:p>
      <w:pPr>
        <w:spacing w:after="40"/>
        <w:ind w:left="216"/>
      </w:pPr>
      <w:r>
        <w:rPr>
          <w:b/>
        </w:rPr>
        <w:t xml:space="preserve">Sub-ideas: </w:t>
      </w:r>
      <w:r>
        <w:t>Waymo's mapped + LiDAR robotaxi stack · End-to-end neural-net driving · Autonomous trucking · Generative-AI simulation · Chinese robotaxi at scale</w:t>
      </w:r>
    </w:p>
    <w:p>
      <w:pPr>
        <w:spacing w:after="160"/>
        <w:ind w:left="216"/>
      </w:pPr>
      <w:r>
        <w:rPr>
          <w:b/>
        </w:rPr>
        <w:t xml:space="preserve">Watch: </w:t>
      </w:r>
      <w:r>
        <w:t>Wayve (Series C, $1.05B led by SoftBank (May 2024); also NVIDIA, Microsoft)</w:t>
      </w:r>
    </w:p>
    <w:p>
      <w:r>
        <w:rPr>
          <w:b/>
          <w:sz w:val="22"/>
        </w:rPr>
        <w:t xml:space="preserve">#12  Humanoid robotics  </w:t>
      </w:r>
      <w:r>
        <w:rPr>
          <w:color w:val="57606A"/>
          <w:sz w:val="18"/>
        </w:rPr>
        <w:t>[ROBOTICS]</w:t>
      </w:r>
    </w:p>
    <w:p>
      <w:pPr>
        <w:spacing w:after="40"/>
      </w:pPr>
      <w:r>
        <w:rPr>
          <w:b/>
        </w:rPr>
        <w:t xml:space="preserve">Impact: </w:t>
      </w:r>
      <w:r>
        <w:t>Humanoid robotics moved from research demos to low-volume industrial production between late 2024 and May 2026 — Tesla and Boston Dynamics in factories, Figure on the BMW line, 1X taking consumer pre-orders, with VLA models (RT-2, π0, Helix) finally enabling task generalization beyond hand-coded behaviors.</w:t>
      </w:r>
    </w:p>
    <w:p>
      <w:pPr>
        <w:spacing w:after="40"/>
        <w:ind w:left="216"/>
      </w:pPr>
      <w:r>
        <w:rPr>
          <w:b/>
        </w:rPr>
        <w:t xml:space="preserve">Sub-ideas: </w:t>
      </w:r>
      <w:r>
        <w:t>Vision-Language-Action (VLA) foundation models · Tactile sensing &amp; dexterous manipulation · Sim-to-real RL &amp; whole-body control · Data factories &amp; teleoperation scaling · Form-factor convergence (26–32 DOF bipedal) · MolmoAct2 (open VLA)</w:t>
      </w:r>
    </w:p>
    <w:p>
      <w:pPr>
        <w:spacing w:after="160"/>
        <w:ind w:left="216"/>
      </w:pPr>
      <w:r>
        <w:rPr>
          <w:b/>
        </w:rPr>
        <w:t xml:space="preserve">Watch: </w:t>
      </w:r>
      <w:r>
        <w:t>Figure AI (Series C ~$1.5B at $39.5B valuation (Sep 2025); ~$1.9B total raised)</w:t>
      </w:r>
    </w:p>
    <w:p>
      <w:r>
        <w:rPr>
          <w:b/>
          <w:sz w:val="22"/>
        </w:rPr>
        <w:t xml:space="preserve">#13  Fusion energy  </w:t>
      </w:r>
      <w:r>
        <w:rPr>
          <w:color w:val="57606A"/>
          <w:sz w:val="18"/>
        </w:rPr>
        <w:t>[ENERGY]</w:t>
      </w:r>
    </w:p>
    <w:p>
      <w:pPr>
        <w:spacing w:after="40"/>
      </w:pPr>
      <w:r>
        <w:rPr>
          <w:b/>
        </w:rPr>
        <w:t xml:space="preserve">Impact: </w:t>
      </w:r>
      <w:r>
        <w:t>Fusion went from public-science promise to active commercial track between 2022 and 2026: NIF demonstrated repeatable net energy gain, CFS broke ground on SPARC with HTS magnets, and Helion shipped a D-T plasma machine on the way to a 50 MW commercial PPA with Microsoft.</w:t>
      </w:r>
    </w:p>
    <w:p>
      <w:pPr>
        <w:spacing w:after="40"/>
        <w:ind w:left="216"/>
      </w:pPr>
      <w:r>
        <w:rPr>
          <w:b/>
        </w:rPr>
        <w:t xml:space="preserve">Sub-ideas: </w:t>
      </w:r>
      <w:r>
        <w:t>Tokamak (magnetic confinement) · Inertial confinement (laser-driven) · HTS (high-temperature superconductor) magnets · AI plasma control · Alternative confinement concepts</w:t>
      </w:r>
    </w:p>
    <w:p>
      <w:pPr>
        <w:spacing w:after="160"/>
        <w:ind w:left="216"/>
      </w:pPr>
      <w:r>
        <w:rPr>
          <w:b/>
        </w:rPr>
        <w:t xml:space="preserve">Watch: </w:t>
      </w:r>
      <w:r>
        <w:t>Commonwealth Fusion Systems (SPARC) ($3.0B total; Series B2 $863M (Aug 2025) led by Nvidia, Google, Bill Gates)</w:t>
      </w:r>
    </w:p>
    <w:p>
      <w:r>
        <w:rPr>
          <w:b/>
          <w:sz w:val="22"/>
        </w:rPr>
        <w:t xml:space="preserve">#14  Brain-computer interfaces  </w:t>
      </w:r>
      <w:r>
        <w:rPr>
          <w:color w:val="57606A"/>
          <w:sz w:val="18"/>
        </w:rPr>
        <w:t>[BIO]</w:t>
      </w:r>
    </w:p>
    <w:p>
      <w:pPr>
        <w:spacing w:after="40"/>
      </w:pPr>
      <w:r>
        <w:rPr>
          <w:b/>
        </w:rPr>
        <w:t xml:space="preserve">Impact: </w:t>
      </w:r>
      <w:r>
        <w:t>BCIs crossed from lab to early commercial reality between 2024 and 2026: Neuralink put 5+ patients on the Telepathy implant, Precision Neuroscience took home the first wireless-cortical-BCI 510(k), BrainGate hit 110 cpm bimanual typing, UCSF restored speech at 78 wpm, and Meta shipped a 20.9 wpm sEMG wristband to consumers.</w:t>
      </w:r>
    </w:p>
    <w:p>
      <w:pPr>
        <w:spacing w:after="40"/>
        <w:ind w:left="216"/>
      </w:pPr>
      <w:r>
        <w:rPr>
          <w:b/>
        </w:rPr>
        <w:t xml:space="preserve">Sub-ideas: </w:t>
      </w:r>
      <w:r>
        <w:t>Intracortical microelectrode arrays (Utah arrays) · Endovascular BCI (Stentrode) · High-bandwidth thin-film cortical interfaces · Speech decoding &amp; synthesis · Non-invasive consumer BCI (EMG / EEG / fNIRS) · Intraoperative high-density micro-ECoG BCI</w:t>
      </w:r>
    </w:p>
    <w:p>
      <w:pPr>
        <w:spacing w:after="160"/>
        <w:ind w:left="216"/>
      </w:pPr>
      <w:r>
        <w:rPr>
          <w:b/>
        </w:rPr>
        <w:t xml:space="preserve">Watch: </w:t>
      </w:r>
      <w:r>
        <w:t>Neuralink Blindsight (Reported $1B+ private equity, Musk-led)</w:t>
      </w:r>
    </w:p>
    <w:p>
      <w:r>
        <w:rPr>
          <w:b/>
          <w:sz w:val="22"/>
        </w:rPr>
        <w:t xml:space="preserve">#15  AI accelerators / advanced compute  </w:t>
      </w:r>
      <w:r>
        <w:rPr>
          <w:color w:val="57606A"/>
          <w:sz w:val="18"/>
        </w:rPr>
        <w:t>[HARDWARE]</w:t>
      </w:r>
    </w:p>
    <w:p>
      <w:pPr>
        <w:spacing w:after="40"/>
      </w:pPr>
      <w:r>
        <w:rPr>
          <w:b/>
        </w:rPr>
        <w:t xml:space="preserve">Impact: </w:t>
      </w:r>
      <w:r>
        <w:t>GPU-dominated AI compute fractured into specialized lanes between 2024 and 2026 — wafer-scale (Cerebras), inference ASICs (Groq, Etched), photonic interconnect (Lightmatter), and per-hyperscaler custom silicon (TPU/Trainium/Maia/MTIA) — pulling 20–70% of opex out of training and inference.</w:t>
      </w:r>
    </w:p>
    <w:p>
      <w:pPr>
        <w:spacing w:after="40"/>
        <w:ind w:left="216"/>
      </w:pPr>
      <w:r>
        <w:rPr>
          <w:b/>
        </w:rPr>
        <w:t xml:space="preserve">Sub-ideas: </w:t>
      </w:r>
      <w:r>
        <w:t>GPU scaling (Hopper → Blackwell → Rubin) · Wafer-scale processors · Inference-specialized ASICs · Hyperscaler custom silicon · Photonic &amp; neuromorphic compute · Google four-partner inference TPU supply chain · NVIDIA RTX Spark (N1X) client AI superchip</w:t>
      </w:r>
    </w:p>
    <w:p>
      <w:pPr>
        <w:spacing w:after="160"/>
        <w:ind w:left="216"/>
      </w:pPr>
      <w:r>
        <w:rPr>
          <w:b/>
        </w:rPr>
        <w:t xml:space="preserve">Watch: </w:t>
      </w:r>
      <w:r>
        <w:t>Tenstorrent (Series B (2024) led by Khosla Ventures and others)</w:t>
      </w:r>
    </w:p>
    <w:p>
      <w:r>
        <w:rPr>
          <w:b/>
          <w:sz w:val="22"/>
        </w:rPr>
        <w:t xml:space="preserve">#16  AI dev ecosystem &amp; agent primitives (MCP, skills, agents, orchestration)  </w:t>
      </w:r>
      <w:r>
        <w:rPr>
          <w:color w:val="57606A"/>
          <w:sz w:val="18"/>
        </w:rPr>
        <w:t>[AI]</w:t>
      </w:r>
    </w:p>
    <w:p>
      <w:pPr>
        <w:spacing w:after="40"/>
      </w:pPr>
      <w:r>
        <w:rPr>
          <w:b/>
        </w:rPr>
        <w:t xml:space="preserve">Impact: </w:t>
      </w:r>
      <w:r>
        <w:t>In roughly 18 months the AI-agent stack produced a set of durable, fast-standardizing developer primitives — MCP for connectivity, Agent Skills for portable expertise, subagents and orchestration apps for parallel work, and SDKs plus evals for governance — now backed by both major labs and a wave of well-funded startups.</w:t>
      </w:r>
    </w:p>
    <w:p>
      <w:pPr>
        <w:spacing w:after="40"/>
        <w:ind w:left="216"/>
      </w:pPr>
      <w:r>
        <w:rPr>
          <w:b/>
        </w:rPr>
        <w:t xml:space="preserve">Sub-ideas: </w:t>
      </w:r>
      <w:r>
        <w:t>Model Context Protocol (MCP) · Agent Skills (Claude Skills / portable skills) · Subagents / multi-agent orchestration in coding agents · Agent-orchestration desktop/cloud apps · Agent SDKs / frameworks · Context engineering &amp; evals / agent governance · Agentic commerce via MCP + x402</w:t>
      </w:r>
    </w:p>
    <w:p>
      <w:pPr>
        <w:spacing w:after="160"/>
        <w:ind w:left="216"/>
      </w:pPr>
      <w:r>
        <w:rPr>
          <w:b/>
        </w:rPr>
        <w:t xml:space="preserve">Watch: </w:t>
      </w:r>
      <w:r>
        <w:t>Conductor (YC Summer 2024; Series A announced Mar 30, 2026 (amount not confirmed in primary source))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