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0"/>
        </w:rPr>
        <w:t>Big Ideas — Weekly Highlights</w:t>
      </w:r>
    </w:p>
    <w:p>
      <w:r>
        <w:rPr>
          <w:color w:val="57606A"/>
          <w:sz w:val="20"/>
        </w:rPr>
        <w:t>Tech breakthroughs tracker · as of 2026-05-15 · 15 breakthroughs · 6 weekly entries</w:t>
      </w:r>
    </w:p>
    <w:p/>
    <w:p>
      <w:pPr>
        <w:pStyle w:val="Heading1"/>
      </w:pPr>
      <w:r>
        <w:t>Latest run · week ending 2026-05-15</w:t>
      </w:r>
    </w:p>
    <w:p>
      <w:r>
        <w:rPr>
          <w:b/>
        </w:rPr>
        <w:t xml:space="preserve">Kind: </w:t>
      </w:r>
      <w:r>
        <w:t>WEEKLY_UPDATE</w:t>
      </w:r>
      <w:r>
        <w:t xml:space="preserve"> · </w:t>
      </w:r>
      <w:r>
        <w:rPr>
          <w:i/>
        </w:rPr>
        <w:t>Generated 2026-05-15T12:24:06</w:t>
      </w:r>
    </w:p>
    <w:p>
      <w:r>
        <w:rPr>
          <w:sz w:val="22"/>
        </w:rPr>
        <w:t>Heavy commercialization week across bio and AI infrastructure. In bio: Isomorphic Labs closed a $2.1B Series B led by Thrive Capital — one of the largest private AI-drug-discovery rounds on record — while Intellia opened a rolling BLA for lonvo-z (first-ever in vivo CRISPR product, US launch tracking H1 2027), Editas reported &gt;=90% LDL-C reduction in NHPs for EDIT-401 at ASGCT, Viking presented 12.2% 13-week weight loss for oral VK2735 at ECO 2026, and Neuralink signaled a next-gen 'whole-brain' surgical robot. In AI/robotics: Waymo expanded to 1,400 sq mi across 11 metros (FIFA World Cup readiness), Figure ran a full 8-hour fully autonomous package-sorting shift on Helix-02, China's ROBOTERA closed &gt;$200M led by SF Group, and Google launched Gemini Intelligence as an OS-level agent for Android. Energy/quantum: CATL announced a 40 GWh sodium-ion expansion, BNEF confirmed energy storage entered the '100 GW era' in 2025, Ford launched a 20 GWh/yr LFP grid-storage subsidiary, IonQ shareholders approved the $1.8B SkyWater acquisition, and Google added Marvell as a third TPU partner targeting ~2M inference MPUs. Agent D flagged three adjacencies: Archer's UAE Restricted Type Certificate path (first eVTOL on this pathway), the EU AI Act omnibus simplification (and nudification ban), and an HKU ultra-stainless-steel claim that could cut seawater-electrolysis structural costs ~40x.</w:t>
      </w:r>
    </w:p>
    <w:p>
      <w:pPr>
        <w:spacing w:after="40"/>
      </w:pPr>
      <w:r>
        <w:rPr>
          <w:b/>
        </w:rPr>
        <w:t xml:space="preserve">  • New breakthroughs: </w:t>
      </w:r>
      <w:r>
        <w:t>0</w:t>
      </w:r>
    </w:p>
    <w:p>
      <w:pPr>
        <w:spacing w:after="40"/>
      </w:pPr>
      <w:r>
        <w:rPr>
          <w:b/>
        </w:rPr>
        <w:t xml:space="preserve">  • New sub-ideas: </w:t>
      </w:r>
      <w:r>
        <w:t>2</w:t>
      </w:r>
    </w:p>
    <w:p>
      <w:pPr>
        <w:spacing w:after="40"/>
      </w:pPr>
      <w:r>
        <w:rPr>
          <w:b/>
        </w:rPr>
        <w:t xml:space="preserve">  • New frontier results: </w:t>
      </w:r>
      <w:r>
        <w:t>2</w:t>
      </w:r>
    </w:p>
    <w:p>
      <w:pPr>
        <w:spacing w:after="40"/>
      </w:pPr>
      <w:r>
        <w:rPr>
          <w:b/>
        </w:rPr>
        <w:t xml:space="preserve">  • New watch picks: </w:t>
      </w:r>
      <w:r>
        <w:t>3</w:t>
      </w:r>
    </w:p>
    <w:p>
      <w:pPr>
        <w:spacing w:after="40"/>
      </w:pPr>
      <w:r>
        <w:rPr>
          <w:b/>
        </w:rPr>
        <w:t xml:space="preserve">  • New people: </w:t>
      </w:r>
      <w:r>
        <w:t>0</w:t>
      </w:r>
    </w:p>
    <w:p>
      <w:pPr>
        <w:spacing w:after="40"/>
      </w:pPr>
      <w:r>
        <w:rPr>
          <w:b/>
        </w:rPr>
        <w:t xml:space="preserve">  • Updated facts: </w:t>
      </w:r>
      <w:r>
        <w:t>8</w:t>
      </w:r>
    </w:p>
    <w:p>
      <w:pPr>
        <w:pStyle w:val="Heading2"/>
      </w:pPr>
      <w:r>
        <w:t>Highlights</w:t>
      </w:r>
    </w:p>
    <w:p>
      <w:pPr>
        <w:spacing w:after="40"/>
      </w:pPr>
      <w:r>
        <w:rPr>
          <w:b/>
          <w:color w:val="9A6700"/>
          <w:sz w:val="18"/>
        </w:rPr>
        <w:t xml:space="preserve">[Updated fact]  </w:t>
      </w:r>
      <w:r>
        <w:rPr>
          <w:i/>
          <w:color w:val="57606A"/>
          <w:sz w:val="18"/>
        </w:rPr>
        <w:t xml:space="preserve">#11 Self-driving cars / robotaxis  </w:t>
      </w:r>
    </w:p>
    <w:p>
      <w:pPr>
        <w:spacing w:after="80"/>
        <w:ind w:left="360"/>
      </w:pPr>
      <w:r>
        <w:rPr>
          <w:b/>
        </w:rPr>
        <w:t>Waymo expands robotaxi coverage to 1,400 sq mi across 11 US cities</w:t>
      </w:r>
      <w:r>
        <w:t xml:space="preserve"> — </w:t>
      </w:r>
      <w:r>
        <w:t>On May 13, 2026, Waymo announced a 20%+ expansion of service area to over 1,400 square miles across 11 US cities, rolling out from Miami to Austin, Atlanta, Houston and the SF Bay Area, timed to FIFA World Cup readiness.</w:t>
      </w:r>
      <w:r>
        <w:rPr>
          <w:color w:val="0969DA"/>
          <w:sz w:val="16"/>
        </w:rPr>
        <w:t xml:space="preserve">  (https://waymo.com/blog/shorts/growing-to-1400-sqm/)</w:t>
      </w:r>
      <w:r>
        <w:rPr>
          <w:color w:val="0969DA"/>
          <w:sz w:val="16"/>
        </w:rPr>
        <w:t xml:space="preserve">  (https://electrek.co/2026/05/13/waymo-expands-coverage-1400-square-miles-11-cities/)</w:t>
      </w:r>
    </w:p>
    <w:p>
      <w:pPr>
        <w:spacing w:after="40"/>
      </w:pPr>
      <w:r>
        <w:rPr>
          <w:b/>
          <w:color w:val="9A6700"/>
          <w:sz w:val="18"/>
        </w:rPr>
        <w:t xml:space="preserve">[Updated fact]  </w:t>
      </w:r>
      <w:r>
        <w:rPr>
          <w:i/>
          <w:color w:val="57606A"/>
          <w:sz w:val="18"/>
        </w:rPr>
        <w:t xml:space="preserve">#12 Humanoid robotics  </w:t>
      </w:r>
    </w:p>
    <w:p>
      <w:pPr>
        <w:spacing w:after="80"/>
        <w:ind w:left="360"/>
      </w:pPr>
      <w:r>
        <w:rPr>
          <w:b/>
        </w:rPr>
        <w:t>Figure Helix-02 runs full 8-hour autonomous package-sorting shift</w:t>
      </w:r>
      <w:r>
        <w:t xml:space="preserve"> — </w:t>
      </w:r>
      <w:r>
        <w:t>On May 13, 2026, Figure AI demonstrated Helix-02-equipped humanoids sustaining a continuous 8-hour package-sorting shift at near-human throughput (~3 sec/package), claimed to be the first eight-hour fully autonomous humanoid factory shift.</w:t>
      </w:r>
      <w:r>
        <w:rPr>
          <w:color w:val="0969DA"/>
          <w:sz w:val="16"/>
        </w:rPr>
        <w:t xml:space="preserve">  (https://interestingengineering.com/ai-robotics/figure-helix02-humanoid-robots-8-hour-shifts)</w:t>
      </w:r>
      <w:r>
        <w:rPr>
          <w:color w:val="0969DA"/>
          <w:sz w:val="16"/>
        </w:rPr>
        <w:t xml:space="preserve">  (https://www.techtimes.com/articles/316632/20260514/figure-ais-helix-02-robots-complete-full-8-hour-autonomous-shifts-humanoid-race-intensifies.htm)</w:t>
      </w:r>
    </w:p>
    <w:p>
      <w:pPr>
        <w:spacing w:after="40"/>
      </w:pPr>
      <w:r>
        <w:rPr>
          <w:b/>
          <w:color w:val="0E6E6F"/>
          <w:sz w:val="18"/>
        </w:rPr>
        <w:t xml:space="preserve">[New watch pick]  </w:t>
      </w:r>
      <w:r>
        <w:rPr>
          <w:i/>
          <w:color w:val="57606A"/>
          <w:sz w:val="18"/>
        </w:rPr>
        <w:t xml:space="preserve">#12 Humanoid robotics  </w:t>
      </w:r>
    </w:p>
    <w:p>
      <w:pPr>
        <w:spacing w:after="80"/>
        <w:ind w:left="360"/>
      </w:pPr>
      <w:r>
        <w:rPr>
          <w:b/>
        </w:rPr>
        <w:t>ROBOTERA closes &gt;$200M led by SF Group, HSG, IDG to scale humanoid fleet</w:t>
      </w:r>
      <w:r>
        <w:t xml:space="preserve"> — </w:t>
      </w:r>
      <w:r>
        <w:t>On May 8, 2026, Chinese humanoid maker ROBOTERA closed &gt;$200M (SF Group, HSG, IDG Capital, Hillhouse, Alibaba, Geely, Lenovo, etc.) after Q2 thousand-unit deliveries and 300%+ growth in logistics deployments.</w:t>
      </w:r>
      <w:r>
        <w:rPr>
          <w:color w:val="0969DA"/>
          <w:sz w:val="16"/>
        </w:rPr>
        <w:t xml:space="preserve">  (https://www.prnewswire.com/news-releases/robotera-raises-over-usd-200-million-in-new-round-led-by-sf-group-hsg-and-idg-capital-302766752.html)</w:t>
      </w:r>
      <w:r>
        <w:rPr>
          <w:color w:val="0969DA"/>
          <w:sz w:val="16"/>
        </w:rPr>
        <w:t xml:space="preserve">  (https://theaiinsider.tech/2026/05/08/chinas-humanoid-robot-maker-robotera-raises-over-usd-200m-in-new-funding-round/)</w:t>
      </w:r>
    </w:p>
    <w:p>
      <w:pPr>
        <w:spacing w:after="40"/>
      </w:pPr>
      <w:r>
        <w:rPr>
          <w:b/>
          <w:color w:val="6639BA"/>
          <w:sz w:val="18"/>
        </w:rPr>
        <w:t xml:space="preserve">[New sub-idea]  </w:t>
      </w:r>
      <w:r>
        <w:rPr>
          <w:i/>
          <w:color w:val="57606A"/>
          <w:sz w:val="18"/>
        </w:rPr>
        <w:t xml:space="preserve">#01 Transformers / LLMs / coding agents  </w:t>
      </w:r>
    </w:p>
    <w:p>
      <w:pPr>
        <w:spacing w:after="80"/>
        <w:ind w:left="360"/>
      </w:pPr>
      <w:r>
        <w:rPr>
          <w:b/>
        </w:rPr>
        <w:t>Google launches Gemini Intelligence as an OS-level agentic layer on Android</w:t>
      </w:r>
      <w:r>
        <w:t xml:space="preserve"> — </w:t>
      </w:r>
      <w:r>
        <w:t>At the Android Show on May 12, 2026, Google unveiled Gemini Intelligence, an agentic layer that reads on-screen context and executes cross-app, multi-step tasks (shopping, forms, dictation, vibe-coded widgets) on Pixel and Galaxy devices starting summer 2026.</w:t>
      </w:r>
      <w:r>
        <w:rPr>
          <w:color w:val="0969DA"/>
          <w:sz w:val="16"/>
        </w:rPr>
        <w:t xml:space="preserve">  (https://blog.google/security/android-gemini-intelligence-security-privacy/)</w:t>
      </w:r>
      <w:r>
        <w:rPr>
          <w:color w:val="0969DA"/>
          <w:sz w:val="16"/>
        </w:rPr>
        <w:t xml:space="preserve">  (https://techcrunch.com/2026/05/12/google-brings-agentic-ai-and-vibe-coded-widgets-to-android/)</w:t>
      </w:r>
    </w:p>
    <w:p>
      <w:pPr>
        <w:spacing w:after="40"/>
      </w:pPr>
      <w:r>
        <w:rPr>
          <w:b/>
          <w:color w:val="0969DA"/>
          <w:sz w:val="18"/>
        </w:rPr>
        <w:t xml:space="preserve">[New frontier result]  </w:t>
      </w:r>
      <w:r>
        <w:rPr>
          <w:i/>
          <w:color w:val="57606A"/>
          <w:sz w:val="18"/>
        </w:rPr>
        <w:t xml:space="preserve">#04 AlphaFold + computational protein design  </w:t>
      </w:r>
    </w:p>
    <w:p>
      <w:pPr>
        <w:spacing w:after="80"/>
        <w:ind w:left="360"/>
      </w:pPr>
      <w:r>
        <w:rPr>
          <w:b/>
        </w:rPr>
        <w:t>Isomorphic Labs raises $2.1B Series B for AI drug-design engine</w:t>
      </w:r>
      <w:r>
        <w:t xml:space="preserve"> — </w:t>
      </w:r>
      <w:r>
        <w:t>On May 12, 2026, Alphabet-backed Isomorphic Labs announced a $2.1B Series B led by Thrive Capital (with Alphabet, GV, MGX, Temasek, CapitalG, UK Sovereign AI Fund) to scale IsoDDE and push its in-house pipeline toward the clinic.</w:t>
      </w:r>
      <w:r>
        <w:rPr>
          <w:color w:val="0969DA"/>
          <w:sz w:val="16"/>
        </w:rPr>
        <w:t xml:space="preserve">  (https://www.isomorphiclabs.com/articles/isomorphic-labs-announces-series-b-investment-round)</w:t>
      </w:r>
      <w:r>
        <w:rPr>
          <w:color w:val="0969DA"/>
          <w:sz w:val="16"/>
        </w:rPr>
        <w:t xml:space="preserve">  (https://www.prnewswire.com/news-releases/isomorphic-labs-secures-2-1-billion-funding-to-scale-its-ai-drug-design-engine-302769674.html)</w:t>
      </w:r>
    </w:p>
    <w:p>
      <w:pPr>
        <w:spacing w:after="40"/>
      </w:pPr>
      <w:r>
        <w:rPr>
          <w:b/>
          <w:color w:val="9A6700"/>
          <w:sz w:val="18"/>
        </w:rPr>
        <w:t xml:space="preserve">[Updated fact]  </w:t>
      </w:r>
      <w:r>
        <w:rPr>
          <w:i/>
          <w:color w:val="57606A"/>
          <w:sz w:val="18"/>
        </w:rPr>
        <w:t xml:space="preserve">#07 CRISPR therapies (Casgevy + base/prime editing)  </w:t>
      </w:r>
    </w:p>
    <w:p>
      <w:pPr>
        <w:spacing w:after="80"/>
        <w:ind w:left="360"/>
      </w:pPr>
      <w:r>
        <w:rPr>
          <w:b/>
        </w:rPr>
        <w:t>Intellia initiates rolling BLA for lonvo-z after Phase 3 HAELO data</w:t>
      </w:r>
      <w:r>
        <w:t xml:space="preserve"> — </w:t>
      </w:r>
      <w:r>
        <w:t>In Q1 2026 results released May 11, Intellia confirmed Phase 3 HAELO topline for in vivo CRISPR therapy lonvo-z showed 87% reduction in HAE attacks vs placebo over six months with 62% attack-free/therapy-free patients; rolling BLA initiated with submission completion targeted H2 2026 and potential US launch H1 2027.</w:t>
      </w:r>
      <w:r>
        <w:rPr>
          <w:color w:val="0969DA"/>
          <w:sz w:val="16"/>
        </w:rPr>
        <w:t xml:space="preserve">  (https://www.globenewswire.com/news-release/2026/05/11/3291773/0/en/Intellia-Therapeutics-Announces-First-Quarter-2026-Financial-Results-and-Business-Updates.html)</w:t>
      </w:r>
      <w:r>
        <w:rPr>
          <w:color w:val="0969DA"/>
          <w:sz w:val="16"/>
        </w:rPr>
        <w:t xml:space="preserve">  (https://ir.intelliatx.com/news-releases/news-release-details/intellia-therapeutics-announces-first-quarter-2026-financial)</w:t>
      </w:r>
    </w:p>
    <w:p>
      <w:pPr>
        <w:spacing w:after="40"/>
      </w:pPr>
      <w:r>
        <w:rPr>
          <w:b/>
          <w:color w:val="0E6E6F"/>
          <w:sz w:val="18"/>
        </w:rPr>
        <w:t xml:space="preserve">[New watch pick]  </w:t>
      </w:r>
      <w:r>
        <w:rPr>
          <w:i/>
          <w:color w:val="57606A"/>
          <w:sz w:val="18"/>
        </w:rPr>
        <w:t xml:space="preserve">#07 CRISPR therapies (Casgevy + base/prime editing)  </w:t>
      </w:r>
    </w:p>
    <w:p>
      <w:pPr>
        <w:spacing w:after="80"/>
        <w:ind w:left="360"/>
      </w:pPr>
      <w:r>
        <w:rPr>
          <w:b/>
        </w:rPr>
        <w:t>Editas EDIT-401 hits &gt;=90% LDL-C reduction in NHPs at ASGCT 2026</w:t>
      </w:r>
      <w:r>
        <w:t xml:space="preserve"> — </w:t>
      </w:r>
      <w:r>
        <w:t>On May 14, 2026, Editas reported at ASGCT 2026 that a single dose of in vivo gene-editing candidate EDIT-401 achieved &gt;=90% mean LDL-C reduction across dose groups in non-human primates via LDLR upregulation; first-in-human in HeFH planned later this year with early human PoC by year-end.</w:t>
      </w:r>
      <w:r>
        <w:rPr>
          <w:color w:val="0969DA"/>
          <w:sz w:val="16"/>
        </w:rPr>
        <w:t xml:space="preserve">  (https://www.globenewswire.com/news-release/2026/05/14/3294685/0/en/editas-medicine-reports-new-preclinical-data-demonstrating-progress-of-edit-401-as-potential-treatment-for-hyperlipidemia-at-the-american-society-of-gene-and-cell-therapy-2026-annu.html)</w:t>
      </w:r>
      <w:r>
        <w:rPr>
          <w:color w:val="0969DA"/>
          <w:sz w:val="16"/>
        </w:rPr>
        <w:t xml:space="preserve">  (https://ir.editasmedicine.com/news-releases/news-release-details/editas-medicine-nominates-edit-401-ldlr-targeted-medicine-lead)</w:t>
      </w:r>
    </w:p>
    <w:p>
      <w:pPr>
        <w:spacing w:after="40"/>
      </w:pPr>
      <w:r>
        <w:rPr>
          <w:b/>
          <w:color w:val="9A6700"/>
          <w:sz w:val="18"/>
        </w:rPr>
        <w:t xml:space="preserve">[Updated fact]  </w:t>
      </w:r>
      <w:r>
        <w:rPr>
          <w:i/>
          <w:color w:val="57606A"/>
          <w:sz w:val="18"/>
        </w:rPr>
        <w:t xml:space="preserve">#06 GLP-1 agonists  </w:t>
      </w:r>
    </w:p>
    <w:p>
      <w:pPr>
        <w:spacing w:after="80"/>
        <w:ind w:left="360"/>
      </w:pPr>
      <w:r>
        <w:rPr>
          <w:b/>
        </w:rPr>
        <w:t>Viking VK2735 oral hits 12.2% weight loss at 13 weeks (ECO 2026)</w:t>
      </w:r>
      <w:r>
        <w:t xml:space="preserve"> — </w:t>
      </w:r>
      <w:r>
        <w:t>At the European Congress on Obesity in Istanbul on May 12, 2026, Viking presented Phase 2 VENTURE-Oral 13-week data showing oral VK2735 delivered up to 12.2% mean weight loss with no plateau, 97% of treated patients hitting &gt;=5% weight loss vs 10% placebo; subcutaneous Phase 3 VANQUISH-1 trial design also presented.</w:t>
      </w:r>
      <w:r>
        <w:rPr>
          <w:color w:val="0969DA"/>
          <w:sz w:val="16"/>
        </w:rPr>
        <w:t xml:space="preserve">  (https://www.prnewswire.com/news-releases/viking-therapeutics-presents-data-from-its-13-week-phase-2-venture-oral-dosing-trial-of-vk2735-at-european-congress-on-obesity-eco-2026-302768959.html)</w:t>
      </w:r>
    </w:p>
    <w:p>
      <w:pPr>
        <w:spacing w:after="40"/>
      </w:pPr>
      <w:r>
        <w:rPr>
          <w:b/>
          <w:color w:val="0969DA"/>
          <w:sz w:val="18"/>
        </w:rPr>
        <w:t xml:space="preserve">[New frontier result]  </w:t>
      </w:r>
      <w:r>
        <w:rPr>
          <w:i/>
          <w:color w:val="57606A"/>
          <w:sz w:val="18"/>
        </w:rPr>
        <w:t xml:space="preserve">#14 Brain-computer interfaces  </w:t>
      </w:r>
    </w:p>
    <w:p>
      <w:pPr>
        <w:spacing w:after="80"/>
        <w:ind w:left="360"/>
      </w:pPr>
      <w:r>
        <w:rPr>
          <w:b/>
        </w:rPr>
        <w:t>Neuralink unveils next-gen surgical robot for whole-brain access</w:t>
      </w:r>
      <w:r>
        <w:t xml:space="preserve"> — </w:t>
      </w:r>
      <w:r>
        <w:t>On May 7-8, 2026, Elon Musk announced Neuralink is developing a next-generation surgical robot designed to implant electrode threads in any region of the brain with high precision, signaling a push beyond motor cortex into Parkinson's, epilepsy, and sensory disorders and toward high-volume implant production in 2026.</w:t>
      </w:r>
      <w:r>
        <w:rPr>
          <w:color w:val="0969DA"/>
          <w:sz w:val="16"/>
        </w:rPr>
        <w:t xml:space="preserve">  (https://www.foxnews.com/health/elon-musk-shares-plan-mass-produce-brain-implants-paralysis-neurological-disease)</w:t>
      </w:r>
      <w:r>
        <w:rPr>
          <w:color w:val="0969DA"/>
          <w:sz w:val="16"/>
        </w:rPr>
        <w:t xml:space="preserve">  (https://yourstory.com/2026/05/neuralink-surgical-robot-brain-interface-2026)</w:t>
      </w:r>
    </w:p>
    <w:p>
      <w:pPr>
        <w:spacing w:after="40"/>
      </w:pPr>
      <w:r>
        <w:rPr>
          <w:b/>
          <w:color w:val="9A6700"/>
          <w:sz w:val="18"/>
        </w:rPr>
        <w:t xml:space="preserve">[Updated fact]  </w:t>
      </w:r>
      <w:r>
        <w:rPr>
          <w:i/>
          <w:color w:val="57606A"/>
          <w:sz w:val="18"/>
        </w:rPr>
        <w:t xml:space="preserve">#07 CRISPR therapies (Casgevy + base/prime editing)  </w:t>
      </w:r>
    </w:p>
    <w:p>
      <w:pPr>
        <w:spacing w:after="80"/>
        <w:ind w:left="360"/>
      </w:pPr>
      <w:r>
        <w:rPr>
          <w:b/>
        </w:rPr>
        <w:t>Casgevy hits $43M Q1 revenue with 500+ patients initiated</w:t>
      </w:r>
      <w:r>
        <w:t xml:space="preserve"> — </w:t>
      </w:r>
      <w:r>
        <w:t>CRISPR Therapeutics Q1 2026 results (released early May) showed Casgevy revenue of $43.0M with over 500 patients initiated globally, marking continued ramp of the first commercial CRISPR therapy; company holds $2.44B cash with multiple in vivo CRISPR INDs (CTX310, CTX460, CTX340) advancing.</w:t>
      </w:r>
      <w:r>
        <w:rPr>
          <w:color w:val="0969DA"/>
          <w:sz w:val="16"/>
        </w:rPr>
        <w:t xml:space="preserve">  (https://www.stocktitan.net/news/CRSP/crispr-therapeutics-provides-business-update-and-reports-first-sdrpmbu7dwil.html)</w:t>
      </w:r>
      <w:r>
        <w:rPr>
          <w:color w:val="0969DA"/>
          <w:sz w:val="16"/>
        </w:rPr>
        <w:t xml:space="preserve">  (https://ir.crisprtx.com/)</w:t>
      </w:r>
    </w:p>
    <w:p>
      <w:pPr>
        <w:spacing w:after="40"/>
      </w:pPr>
      <w:r>
        <w:rPr>
          <w:b/>
          <w:color w:val="9A6700"/>
          <w:sz w:val="18"/>
        </w:rPr>
        <w:t xml:space="preserve">[Updated fact]  </w:t>
      </w:r>
      <w:r>
        <w:rPr>
          <w:i/>
          <w:color w:val="57606A"/>
          <w:sz w:val="18"/>
        </w:rPr>
        <w:t xml:space="preserve">#08 Quantum error correction (logical qubits below threshold)  </w:t>
      </w:r>
    </w:p>
    <w:p>
      <w:pPr>
        <w:spacing w:after="80"/>
        <w:ind w:left="360"/>
      </w:pPr>
      <w:r>
        <w:rPr>
          <w:b/>
        </w:rPr>
        <w:t>IonQ-SkyWater $1.8B merger clears shareholder vote</w:t>
      </w:r>
      <w:r>
        <w:t xml:space="preserve"> — </w:t>
      </w:r>
      <w:r>
        <w:t>SkyWater Technology stockholders approved IonQ's ~$1.8B cash-and-stock acquisition at a May 8, 2026 special meeting (32.6M for, 405K against). Deal makes IonQ the only vertically integrated full-stack quantum platform with an in-house US semiconductor fab; closing expected Q2-Q3 2026 pending regulatory approval.</w:t>
      </w:r>
      <w:r>
        <w:rPr>
          <w:color w:val="0969DA"/>
          <w:sz w:val="16"/>
        </w:rPr>
        <w:t xml:space="preserve">  (https://www.businesswire.com/news/home/20260508584062/en/SkyWater-Technology-Stockholders-Approve-Merger-Agreement-with-IonQ)</w:t>
      </w:r>
      <w:r>
        <w:rPr>
          <w:color w:val="0969DA"/>
          <w:sz w:val="16"/>
        </w:rPr>
        <w:t xml:space="preserve">  (https://thequantuminsider.com/2026/05/09/skywater-technology-stockholders-approve-merger-agreement-with-ionq/)</w:t>
      </w:r>
    </w:p>
    <w:p>
      <w:pPr>
        <w:spacing w:after="40"/>
      </w:pPr>
      <w:r>
        <w:rPr>
          <w:b/>
          <w:color w:val="9A6700"/>
          <w:sz w:val="18"/>
        </w:rPr>
        <w:t xml:space="preserve">[Updated fact]  </w:t>
      </w:r>
      <w:r>
        <w:rPr>
          <w:i/>
          <w:color w:val="57606A"/>
          <w:sz w:val="18"/>
        </w:rPr>
        <w:t xml:space="preserve">#10 Renewables + battery cost collapse  </w:t>
      </w:r>
    </w:p>
    <w:p>
      <w:pPr>
        <w:spacing w:after="80"/>
        <w:ind w:left="360"/>
      </w:pPr>
      <w:r>
        <w:rPr>
          <w:b/>
        </w:rPr>
        <w:t>CATL announces 40 GWh sodium-ion battery capacity expansion</w:t>
      </w:r>
      <w:r>
        <w:t xml:space="preserve"> — </w:t>
      </w:r>
      <w:r>
        <w:t>On May 9, 2026, CATL disclosed via Ningde environmental authorities a 5B yuan ($735M) investment to add 40 GWh/year of sodium-ion power battery capacity at its Fuding Shidai subsidiary (24-month build); follows CATL's April three-year, 60 GWh sodium-ion supply contract with HyperStrong.</w:t>
      </w:r>
      <w:r>
        <w:rPr>
          <w:color w:val="0969DA"/>
          <w:sz w:val="16"/>
        </w:rPr>
        <w:t xml:space="preserve">  (https://cnevpost.com/2026/05/09/catl-plans-40-gwh-sodium-battery-capacity-expansion/)</w:t>
      </w:r>
    </w:p>
    <w:p>
      <w:pPr>
        <w:spacing w:after="40"/>
      </w:pPr>
      <w:r>
        <w:rPr>
          <w:b/>
          <w:color w:val="9A6700"/>
          <w:sz w:val="18"/>
        </w:rPr>
        <w:t xml:space="preserve">[Updated fact]  </w:t>
      </w:r>
      <w:r>
        <w:rPr>
          <w:i/>
          <w:color w:val="57606A"/>
          <w:sz w:val="18"/>
        </w:rPr>
        <w:t xml:space="preserve">#10 Renewables + battery cost collapse  </w:t>
      </w:r>
    </w:p>
    <w:p>
      <w:pPr>
        <w:spacing w:after="80"/>
        <w:ind w:left="360"/>
      </w:pPr>
      <w:r>
        <w:rPr>
          <w:b/>
        </w:rPr>
        <w:t>BNEF: global energy storage installs hit '100 GW era' in 2025</w:t>
      </w:r>
      <w:r>
        <w:t xml:space="preserve"> — </w:t>
      </w:r>
      <w:r>
        <w:t>BloombergNEF's 1H 2026 Energy Storage Market Outlook (May 11, 2026) confirmed 112 GW / 307 GWh of new storage installed globally in 2025 — a 48% YoY jump and the first time the industry crossed 100 GW/year. BNEF forecasts 158 GW / 459 GWh in 2026 (+41%), with long-duration (6h+) storage additions set to quadruple to ~2 GW.</w:t>
      </w:r>
      <w:r>
        <w:rPr>
          <w:color w:val="0969DA"/>
          <w:sz w:val="16"/>
        </w:rPr>
        <w:t xml:space="preserve">  (https://about.bnef.com/insights/clean-energy/energy-storage-enters-the-100-gigawatt-era-three-things-to-know/)</w:t>
      </w:r>
      <w:r>
        <w:rPr>
          <w:color w:val="0969DA"/>
          <w:sz w:val="16"/>
        </w:rPr>
        <w:t xml:space="preserve">  (https://www.pv-magazine.com/2026/05/11/bloombergnef-confirms-energy-storage-has-reached-the-100-gw-era/)</w:t>
      </w:r>
    </w:p>
    <w:p>
      <w:pPr>
        <w:spacing w:after="40"/>
      </w:pPr>
      <w:r>
        <w:rPr>
          <w:b/>
          <w:color w:val="0E6E6F"/>
          <w:sz w:val="18"/>
        </w:rPr>
        <w:t xml:space="preserve">[New watch pick]  </w:t>
      </w:r>
      <w:r>
        <w:rPr>
          <w:i/>
          <w:color w:val="57606A"/>
          <w:sz w:val="18"/>
        </w:rPr>
        <w:t xml:space="preserve">#10 Renewables + battery cost collapse  </w:t>
      </w:r>
    </w:p>
    <w:p>
      <w:pPr>
        <w:spacing w:after="80"/>
        <w:ind w:left="360"/>
      </w:pPr>
      <w:r>
        <w:rPr>
          <w:b/>
        </w:rPr>
        <w:t>Ford launches Ford Energy BESS subsidiary, 20 GWh/yr target</w:t>
      </w:r>
      <w:r>
        <w:t xml:space="preserve"> — </w:t>
      </w:r>
      <w:r>
        <w:t>On May 11, 2026, Ford launched 'Ford Energy,' a US battery-energy-storage subsidiary repurposing the dissolved BlueOval SK plant in Glendale, KY to build LFP grid-scale storage for utilities, data centers, and industrial customers. Flagship FE-250 (2-hr) and FE-450 (4-hr) DC blocks use 512 Ah LFP prismatic cells; first deliveries late 2027; Lisa Drake named president.</w:t>
      </w:r>
      <w:r>
        <w:rPr>
          <w:color w:val="0969DA"/>
          <w:sz w:val="16"/>
        </w:rPr>
        <w:t xml:space="preserve">  (https://electrek.co/2026/05/11/ford-energy-launches-battery-storage-subsidiary-20gwh-bess/)</w:t>
      </w:r>
      <w:r>
        <w:rPr>
          <w:color w:val="0969DA"/>
          <w:sz w:val="16"/>
        </w:rPr>
        <w:t xml:space="preserve">  (https://www.energy-storage.news/ford-officially-launches-us-stationary-energy-storage-subsidiary-deliveries-to-begin-in-2027/)</w:t>
      </w:r>
    </w:p>
    <w:p>
      <w:pPr>
        <w:spacing w:after="40"/>
      </w:pPr>
      <w:r>
        <w:rPr>
          <w:b/>
          <w:color w:val="6639BA"/>
          <w:sz w:val="18"/>
        </w:rPr>
        <w:t xml:space="preserve">[New sub-idea]  </w:t>
      </w:r>
      <w:r>
        <w:rPr>
          <w:i/>
          <w:color w:val="57606A"/>
          <w:sz w:val="18"/>
        </w:rPr>
        <w:t xml:space="preserve">#15 AI accelerators / advanced compute  </w:t>
      </w:r>
    </w:p>
    <w:p>
      <w:pPr>
        <w:spacing w:after="80"/>
        <w:ind w:left="360"/>
      </w:pPr>
      <w:r>
        <w:rPr>
          <w:b/>
        </w:rPr>
        <w:t>Google adds Marvell as third TPU partner for inference + MPU</w:t>
      </w:r>
      <w:r>
        <w:t xml:space="preserve"> — </w:t>
      </w:r>
      <w:r>
        <w:t>Reports on May 13, 2026 detailed Google co-developing two custom chips with Marvell: a memory processing unit (MPU) to pair with existing TPUs, and a next-gen inference-optimized TPU. Google plans nearly 2M MPUs, with design finalization expected in 2027 — diversifying beyond Broadcom and bringing MediaTek + Marvell into a four-partner TPU stack to challenge NVIDIA on inference economics.</w:t>
      </w:r>
      <w:r>
        <w:rPr>
          <w:color w:val="0969DA"/>
          <w:sz w:val="16"/>
        </w:rPr>
        <w:t xml:space="preserve">  (https://thenextweb.com/news/google-marvell-ai-chips-inference-tpu-broadcom)</w:t>
      </w:r>
      <w:r>
        <w:rPr>
          <w:color w:val="0969DA"/>
          <w:sz w:val="16"/>
        </w:rPr>
        <w:t xml:space="preserve">  (https://the-decoder.com/google-plans-nearly-two-million-new-ai-chips-as-it-turns-to-marvell-for-custom-designs/)</w:t>
      </w:r>
    </w:p>
    <w:p>
      <w:pPr>
        <w:spacing w:after="40"/>
      </w:pPr>
      <w:r>
        <w:rPr>
          <w:b/>
          <w:color w:val="57606A"/>
          <w:sz w:val="18"/>
        </w:rPr>
        <w:t xml:space="preserve">[BROAD_SCAN]  </w:t>
      </w:r>
    </w:p>
    <w:p>
      <w:pPr>
        <w:spacing w:after="80"/>
        <w:ind w:left="360"/>
      </w:pPr>
      <w:r>
        <w:rPr>
          <w:b/>
        </w:rPr>
        <w:t>Archer Midnight enters UAE Restricted Type Certificate path (first eVTOL on RTC)</w:t>
      </w:r>
      <w:r>
        <w:t xml:space="preserve"> — </w:t>
      </w:r>
      <w:r>
        <w:t>On May 7-8, 2026, the UAE GCAA and Archer Aviation agreed to transition Midnight onto a Restricted Type Certificate (RTC) program, making Archer the first eVTOL maker on this streamlined pathway and opening the door to limited commercial air-taxi operations in Abu Dhabi.</w:t>
      </w:r>
      <w:r>
        <w:rPr>
          <w:color w:val="0969DA"/>
          <w:sz w:val="16"/>
        </w:rPr>
        <w:t xml:space="preserve">  (https://investors.archer.com/news/news-details/2026/UAE-Regulator-And-Archer-Move-To-Streamlined-Approach-for-Certifying-Midnight-in-the-UAE/default.aspx)</w:t>
      </w:r>
      <w:r>
        <w:rPr>
          <w:color w:val="0969DA"/>
          <w:sz w:val="16"/>
        </w:rPr>
        <w:t xml:space="preserve">  (https://www.flightglobal.com/airframers/2026/05/archers-uae-restricted-type-certificate-plan-poses-questions-over-operational-limitations/)</w:t>
      </w:r>
    </w:p>
    <w:p>
      <w:pPr>
        <w:spacing w:after="40"/>
      </w:pPr>
      <w:r>
        <w:rPr>
          <w:b/>
          <w:color w:val="57606A"/>
          <w:sz w:val="18"/>
        </w:rPr>
        <w:t xml:space="preserve">[BROAD_SCAN]  </w:t>
      </w:r>
    </w:p>
    <w:p>
      <w:pPr>
        <w:spacing w:after="80"/>
        <w:ind w:left="360"/>
      </w:pPr>
      <w:r>
        <w:rPr>
          <w:b/>
        </w:rPr>
        <w:t>EU agrees AI Act 'omnibus' simplification; nudification ban added</w:t>
      </w:r>
      <w:r>
        <w:t xml:space="preserve"> — </w:t>
      </w:r>
      <w:r>
        <w:t>On May 7, 2026 the Council and Parliament reached political agreement on the AI Act omnibus, delaying national sandbox deadlines to August 2027, shortening transparency grace periods, and adding a ban on 'nudification' apps. Commission followed May 8 with draft transparency guidelines — reshaping the EU AI governance timeline before the August 2026 GPAI enforcement date.</w:t>
      </w:r>
      <w:r>
        <w:rPr>
          <w:color w:val="0969DA"/>
          <w:sz w:val="16"/>
        </w:rPr>
        <w:t xml:space="preserve">  (https://www.consilium.europa.eu/en/press/press-releases/2026/05/07/artificial-intelligence-council-and-parliament-agree-to-simplify-and-streamline-rules/)</w:t>
      </w:r>
      <w:r>
        <w:rPr>
          <w:color w:val="0969DA"/>
          <w:sz w:val="16"/>
        </w:rPr>
        <w:t xml:space="preserve">  (https://www.lw.com/en/insights/ai-act-update-eu-resolves-to-change-rules-and-extend-deadlines)</w:t>
      </w:r>
    </w:p>
    <w:p>
      <w:pPr>
        <w:spacing w:after="40"/>
      </w:pPr>
      <w:r>
        <w:rPr>
          <w:b/>
          <w:color w:val="57606A"/>
          <w:sz w:val="18"/>
        </w:rPr>
        <w:t xml:space="preserve">[BROAD_SCAN]  </w:t>
      </w:r>
    </w:p>
    <w:p>
      <w:pPr>
        <w:spacing w:after="80"/>
        <w:ind w:left="360"/>
      </w:pPr>
      <w:r>
        <w:rPr>
          <w:b/>
        </w:rPr>
        <w:t>HKU 'SS-H2' super-stainless steel could cut green-H2 structural costs ~40x</w:t>
      </w:r>
      <w:r>
        <w:t xml:space="preserve"> — </w:t>
      </w:r>
      <w:r>
        <w:t>Reported May 10-11, 2026: a University of Hong Kong team led by Mingxin Huang published a 'sequential dual-passivation' stainless steel (SS-H2) that resists corrosion at ultra-high potentials in seawater electrolysis, potentially replacing titanium components and slashing structural costs ~40-fold for seawater green-hydrogen.</w:t>
      </w:r>
      <w:r>
        <w:rPr>
          <w:color w:val="0969DA"/>
          <w:sz w:val="16"/>
        </w:rPr>
        <w:t xml:space="preserve">  (https://www.sciencedaily.com/releases/2026/05/260510030950.htm)</w:t>
      </w:r>
      <w:r>
        <w:rPr>
          <w:color w:val="0969DA"/>
          <w:sz w:val="16"/>
        </w:rPr>
        <w:t xml:space="preserve">  (https://fuelcellsworks.com/2026/05/11/clean-energy/cannot-be-explained-new-ultra-stainless-steel-stuns-researchers)</w:t>
      </w:r>
    </w:p>
    <w:p>
      <w:r>
        <w:br w:type="page"/>
      </w:r>
    </w:p>
    <w:p>
      <w:pPr>
        <w:pStyle w:val="Heading1"/>
      </w:pPr>
      <w:r>
        <w:t>Weekly history</w:t>
      </w:r>
    </w:p>
    <w:p>
      <w:r>
        <w:rPr>
          <w:i/>
        </w:rPr>
        <w:t>All 6 entries (newest first). Each row aggregates the additions logged in state.json for that week.</w:t>
      </w:r>
    </w:p>
    <w:tbl>
      <w:tblPr>
        <w:tblStyle w:val="TableGrid"/>
        <w:tblW w:type="auto" w:w="0"/>
        <w:tblLook w:firstColumn="1" w:firstRow="1" w:lastColumn="0" w:lastRow="0" w:noHBand="0" w:noVBand="1" w:val="04A0"/>
      </w:tblPr>
      <w:tblGrid>
        <w:gridCol w:w="2340"/>
        <w:gridCol w:w="2340"/>
        <w:gridCol w:w="2340"/>
        <w:gridCol w:w="2340"/>
      </w:tblGrid>
      <w:tr>
        <w:tc>
          <w:tcPr>
            <w:tcW w:type="dxa" w:w="1440"/>
            <w:shd w:val="clear" w:color="auto" w:fill="0D1117"/>
          </w:tcPr>
          <w:p>
            <w:r/>
            <w:r>
              <w:rPr>
                <w:b/>
                <w:color w:val="FFFFFF"/>
                <w:sz w:val="18"/>
              </w:rPr>
              <w:t>Week ending</w:t>
            </w:r>
          </w:p>
        </w:tc>
        <w:tc>
          <w:tcPr>
            <w:tcW w:type="dxa" w:w="1440"/>
            <w:shd w:val="clear" w:color="auto" w:fill="0D1117"/>
          </w:tcPr>
          <w:p>
            <w:r/>
            <w:r>
              <w:rPr>
                <w:b/>
                <w:color w:val="FFFFFF"/>
                <w:sz w:val="18"/>
              </w:rPr>
              <w:t>Kind</w:t>
            </w:r>
          </w:p>
        </w:tc>
        <w:tc>
          <w:tcPr>
            <w:tcW w:type="dxa" w:w="4896"/>
            <w:shd w:val="clear" w:color="auto" w:fill="0D1117"/>
          </w:tcPr>
          <w:p>
            <w:r/>
            <w:r>
              <w:rPr>
                <w:b/>
                <w:color w:val="FFFFFF"/>
                <w:sz w:val="18"/>
              </w:rPr>
              <w:t>Summary</w:t>
            </w:r>
          </w:p>
        </w:tc>
        <w:tc>
          <w:tcPr>
            <w:tcW w:type="dxa" w:w="1584"/>
            <w:shd w:val="clear" w:color="auto" w:fill="0D1117"/>
          </w:tcPr>
          <w:p>
            <w:r/>
            <w:r>
              <w:rPr>
                <w:b/>
                <w:color w:val="FFFFFF"/>
                <w:sz w:val="18"/>
              </w:rPr>
              <w:t>Additions</w:t>
            </w:r>
          </w:p>
        </w:tc>
      </w:tr>
      <w:tr>
        <w:tc>
          <w:tcPr>
            <w:tcW w:type="dxa" w:w="1440"/>
          </w:tcPr>
          <w:p>
            <w:r>
              <w:rPr>
                <w:sz w:val="18"/>
              </w:rPr>
              <w:t>2026-05-15</w:t>
            </w:r>
          </w:p>
        </w:tc>
        <w:tc>
          <w:tcPr>
            <w:tcW w:type="dxa" w:w="1440"/>
          </w:tcPr>
          <w:p>
            <w:r>
              <w:rPr>
                <w:sz w:val="18"/>
              </w:rPr>
              <w:t>WEEKLY_UPDATE</w:t>
            </w:r>
          </w:p>
        </w:tc>
        <w:tc>
          <w:tcPr>
            <w:tcW w:type="dxa" w:w="4896"/>
          </w:tcPr>
          <w:p>
            <w:r>
              <w:rPr>
                <w:sz w:val="18"/>
              </w:rPr>
              <w:t>Heavy commercialization week across bio and AI infrastructure. In bio: Isomorphic Labs closed a $2.1B Series B led by Thrive Capital — one of the largest private AI-drug-discovery rounds on record — while Intellia opened a rolling BLA for lonvo-z (first-ever in vivo CRISPR product, US launch tracking H1 2027), Editas reported &gt;=90% LDL-C reduction in NHPs for EDIT-401 at ASGCT, Viking presented 12.2% 13-week weight loss for oral VK2735 at ECO 2026, and Neuralink signaled a next-gen 'whole-brain' surgical robot. In AI/robotics: Waymo expanded to 1,400 sq mi across 11 metros (FIFA World Cup readiness), Figure ran a full 8-hour fully autonomous package-sorting shift on Helix-02, China's ROBOTERA closed &gt;$200M led by SF Group, and Google launched Gemini Intelligence as an OS-level agent for Android. Energy/quantum: CATL announced a 40 GWh sodium-ion expansion, BNEF confirmed energy storage entered the '100 GW era' in 2025, Ford launched a 20 GWh/yr LFP grid-storage subsidiary, IonQ shareholders approved the $1.8B SkyWater acquisition, and Google added Marvell as a third TPU partner targeting ~2M inference MPUs. Agent D flagged three adjacencies: Archer's UAE Restricted Type Certificate path (first eVTOL on this pathway), the EU AI Act omnibus simplification (and nudification ban), and an HKU ultra-stainless-steel claim that could cut seawater-electrolysis structural costs ~40x.</w:t>
            </w:r>
          </w:p>
        </w:tc>
        <w:tc>
          <w:tcPr>
            <w:tcW w:type="dxa" w:w="1584"/>
          </w:tcPr>
          <w:p>
            <w:r>
              <w:rPr>
                <w:sz w:val="18"/>
              </w:rPr>
              <w:t>+2 sub  +2 frt  +3 wch</w:t>
            </w:r>
          </w:p>
        </w:tc>
      </w:tr>
      <w:tr>
        <w:tc>
          <w:tcPr>
            <w:tcW w:type="dxa" w:w="1440"/>
          </w:tcPr>
          <w:p>
            <w:r>
              <w:rPr>
                <w:sz w:val="18"/>
              </w:rPr>
              <w:t>2026-05-08</w:t>
            </w:r>
          </w:p>
        </w:tc>
        <w:tc>
          <w:tcPr>
            <w:tcW w:type="dxa" w:w="1440"/>
          </w:tcPr>
          <w:p>
            <w:r>
              <w:rPr>
                <w:sz w:val="18"/>
              </w:rPr>
              <w:t>WEEKLY_UPDATE</w:t>
            </w:r>
          </w:p>
        </w:tc>
        <w:tc>
          <w:tcPr>
            <w:tcW w:type="dxa" w:w="4896"/>
          </w:tcPr>
          <w:p>
            <w:r>
              <w:rPr>
                <w:sz w:val="18"/>
              </w:rPr>
              <w:t>Intra-day supplement to the morning's run: three primary-source items the AM scan missed. Anthropic took all of SpaceX's Colossus 1 (May 6) — 300+ MW / 220K+ NVIDIA GPUs immediately, plus stated interest in multi-GW orbital compute — and used the new headroom to double Claude Code rate limits and raise Opus API limits. Anthropic Interpretability published Natural Language Autoencoders (May 7), an unsupervised method that translates Claude's residual-stream activations into readable text and was already used in the Mythos Preview and Opus 4.6 alignment audits. OpenAI opened GPT-5.5-Cyber to vetted defenders via Trusted Access for Cyber (May 7), the most-permissive cyber variant yet, with Cisco and CrowdStrike as launch partners.</w:t>
            </w:r>
          </w:p>
        </w:tc>
        <w:tc>
          <w:tcPr>
            <w:tcW w:type="dxa" w:w="1584"/>
          </w:tcPr>
          <w:p>
            <w:r>
              <w:rPr>
                <w:sz w:val="18"/>
              </w:rPr>
              <w:t>+1 sub  +2 frt</w:t>
            </w:r>
          </w:p>
        </w:tc>
      </w:tr>
      <w:tr>
        <w:tc>
          <w:tcPr>
            <w:tcW w:type="dxa" w:w="1440"/>
          </w:tcPr>
          <w:p>
            <w:r>
              <w:rPr>
                <w:sz w:val="18"/>
              </w:rPr>
              <w:t>2026-05-08</w:t>
            </w:r>
          </w:p>
        </w:tc>
        <w:tc>
          <w:tcPr>
            <w:tcW w:type="dxa" w:w="1440"/>
          </w:tcPr>
          <w:p>
            <w:r>
              <w:rPr>
                <w:sz w:val="18"/>
              </w:rPr>
              <w:t>WEEKLY_UPDATE</w:t>
            </w:r>
          </w:p>
        </w:tc>
        <w:tc>
          <w:tcPr>
            <w:tcW w:type="dxa" w:w="4896"/>
          </w:tcPr>
          <w:p>
            <w:r>
              <w:rPr>
                <w:sz w:val="18"/>
              </w:rPr>
              <w:t>Heavy week across AI infra, AI hardware, quantum, and bio. OpenAI shipped GPT-5.5 Instant (52.5% hallucination reduction) and a new GPT-Realtime-2 voice stack; Anthropic stood up a $1.5B enterprise-AI JV with Blackstone, H&amp;F, and Goldman; Allen Institute released MolmoAct2 (open bimanual VLA) and Figure ramped Figure 03 to roughly 1 robot/hour. Cerebras filed for a $26.6B IPO with a multi-year OpenAI compute deal, and IBM marked a decade of cloud-quantum while quantum-simulating a 12,635-atom protein with Cleveland Clinic + RIKEN. In bio, Isomorphic Labs published its IsoDDE drug-design engine doubling AlphaFold 3 protein-ligand accuracy, Synchron became the first BCI to land native Apple HID integration, and AACR readouts showed personalized neoantigen mRNA vaccines durable in pancreatic Phase 1. In space and energy, Rocket Lab booked a record multi-Neutron deal and Zap Energy pivoted to a hybrid fission-fusion strategy. Agent D's broad scan returned a Joby Manhattan eVTOL demo and Fervo's $1.33B geothermal IPO filing.</w:t>
            </w:r>
          </w:p>
        </w:tc>
        <w:tc>
          <w:tcPr>
            <w:tcW w:type="dxa" w:w="1584"/>
          </w:tcPr>
          <w:p>
            <w:r>
              <w:rPr>
                <w:sz w:val="18"/>
              </w:rPr>
              <w:t>+3 sub  +5 frt  +3 wch</w:t>
            </w:r>
          </w:p>
        </w:tc>
      </w:tr>
      <w:tr>
        <w:tc>
          <w:tcPr>
            <w:tcW w:type="dxa" w:w="1440"/>
          </w:tcPr>
          <w:p>
            <w:r>
              <w:rPr>
                <w:sz w:val="18"/>
              </w:rPr>
              <w:t>2026-05-08</w:t>
            </w:r>
          </w:p>
        </w:tc>
        <w:tc>
          <w:tcPr>
            <w:tcW w:type="dxa" w:w="1440"/>
          </w:tcPr>
          <w:p>
            <w:r>
              <w:rPr>
                <w:sz w:val="18"/>
              </w:rPr>
              <w:t>WEEKLY_UPDATE</w:t>
            </w:r>
          </w:p>
        </w:tc>
        <w:tc>
          <w:tcPr>
            <w:tcW w:type="dxa" w:w="4896"/>
          </w:tcPr>
          <w:p>
            <w:r>
              <w:rPr>
                <w:sz w:val="18"/>
              </w:rPr>
              <w:t>Quietly busy week dominated by AI-tooling, quantum, and clinical-bio progress. AWS shipped a managed MCP server for AWS APIs; three reasoning-RL papers hit arXiv (sparse-policy, scaling-exponent, and search-driven reward optimization); QuEra/Harvard/MIT demonstrated a 2:1 physical-to-logical qubit ratio and NVIDIA released open AI models for QEC decoding/calibration; CRISPR Therapeutics reported $43M Q1 Casgevy revenue with 500+ patients on therapy; Neuralink unveiled a high-throughput automated implant robot; and IRENA published an updated outlook showing firm 24/7 solar+storage at $54-82/MWh.</w:t>
            </w:r>
          </w:p>
        </w:tc>
        <w:tc>
          <w:tcPr>
            <w:tcW w:type="dxa" w:w="1584"/>
          </w:tcPr>
          <w:p>
            <w:r>
              <w:rPr>
                <w:sz w:val="18"/>
              </w:rPr>
              <w:t>+3 sub  +6 frt</w:t>
            </w:r>
          </w:p>
        </w:tc>
      </w:tr>
      <w:tr>
        <w:tc>
          <w:tcPr>
            <w:tcW w:type="dxa" w:w="1440"/>
          </w:tcPr>
          <w:p>
            <w:r>
              <w:rPr>
                <w:sz w:val="18"/>
              </w:rPr>
              <w:t>2026-05-08</w:t>
            </w:r>
          </w:p>
        </w:tc>
        <w:tc>
          <w:tcPr>
            <w:tcW w:type="dxa" w:w="1440"/>
          </w:tcPr>
          <w:p>
            <w:r>
              <w:rPr>
                <w:sz w:val="18"/>
              </w:rPr>
              <w:t>BASE_RUN</w:t>
            </w:r>
          </w:p>
        </w:tc>
        <w:tc>
          <w:tcPr>
            <w:tcW w:type="dxa" w:w="4896"/>
          </w:tcPr>
          <w:p>
            <w:r>
              <w:rPr>
                <w:sz w:val="18"/>
              </w:rPr>
              <w:t>Base set extended from 11 to 15 breakthroughs: added humanoid robotics (#12), fusion energy (#13), brain-computer interfaces (#14), AI accelerators / advanced compute (#15). Two new domains introduced (ROBOTICS, HARDWARE).</w:t>
            </w:r>
          </w:p>
        </w:tc>
        <w:tc>
          <w:tcPr>
            <w:tcW w:type="dxa" w:w="1584"/>
          </w:tcPr>
          <w:p>
            <w:r>
              <w:rPr>
                <w:sz w:val="18"/>
              </w:rPr>
              <w:t>+4 brk</w:t>
            </w:r>
          </w:p>
        </w:tc>
      </w:tr>
      <w:tr>
        <w:tc>
          <w:tcPr>
            <w:tcW w:type="dxa" w:w="1440"/>
          </w:tcPr>
          <w:p>
            <w:r>
              <w:rPr>
                <w:sz w:val="18"/>
              </w:rPr>
              <w:t>2026-05-08</w:t>
            </w:r>
          </w:p>
        </w:tc>
        <w:tc>
          <w:tcPr>
            <w:tcW w:type="dxa" w:w="1440"/>
          </w:tcPr>
          <w:p>
            <w:r>
              <w:rPr>
                <w:sz w:val="18"/>
              </w:rPr>
              <w:t>BASE_RUN</w:t>
            </w:r>
          </w:p>
        </w:tc>
        <w:tc>
          <w:tcPr>
            <w:tcW w:type="dxa" w:w="4896"/>
          </w:tcPr>
          <w:p>
            <w:r>
              <w:rPr>
                <w:sz w:val="18"/>
              </w:rPr>
              <w:t>Initial base-truth capture across 11 breakthroughs: 62 named people, 56 sub-ideas, 55 frontier bullets, 39 watch-list picks, 150 unique source URLs.</w:t>
            </w:r>
          </w:p>
        </w:tc>
        <w:tc>
          <w:tcPr>
            <w:tcW w:type="dxa" w:w="1584"/>
          </w:tcPr>
          <w:p>
            <w:r>
              <w:rPr>
                <w:sz w:val="18"/>
              </w:rPr>
              <w:t>+11 brk</w:t>
            </w:r>
          </w:p>
        </w:tc>
      </w:tr>
    </w:tbl>
    <w:p>
      <w:r>
        <w:br w:type="page"/>
      </w:r>
    </w:p>
    <w:p>
      <w:pPr>
        <w:pStyle w:val="Heading1"/>
      </w:pPr>
      <w:r>
        <w:t>Current snapshot — by breakthrough</w:t>
      </w:r>
    </w:p>
    <w:p>
      <w:r>
        <w:t>Snapshot of state.json as of 2026-05-15. Each breakthrough lists current sub-ideas and most recent watch pick.</w:t>
      </w:r>
    </w:p>
    <w:p>
      <w:r>
        <w:rPr>
          <w:b/>
          <w:sz w:val="22"/>
        </w:rPr>
        <w:t xml:space="preserve">#01  Transformers / LLMs / coding agents  </w:t>
      </w:r>
      <w:r>
        <w:rPr>
          <w:color w:val="57606A"/>
          <w:sz w:val="18"/>
        </w:rPr>
        <w:t>[AI]</w:t>
      </w:r>
    </w:p>
    <w:p>
      <w:pPr>
        <w:spacing w:after="40"/>
      </w:pPr>
      <w:r>
        <w:rPr>
          <w:b/>
        </w:rPr>
        <w:t xml:space="preserve">Impact: </w:t>
      </w:r>
      <w:r>
        <w:t>Transformers and LLMs have enabled agentic AI systems that autonomously solve software engineering tasks, with frontier models now matching or exceeding professional developer capabilities on real-world codebase tasks.</w:t>
      </w:r>
    </w:p>
    <w:p>
      <w:pPr>
        <w:spacing w:after="40"/>
        <w:ind w:left="216"/>
      </w:pPr>
      <w:r>
        <w:rPr>
          <w:b/>
        </w:rPr>
        <w:t xml:space="preserve">Sub-ideas: </w:t>
      </w:r>
      <w:r>
        <w:t>Coding agents · Mixture-of-Experts (MoE) · Long-context windows · Multimodal frontier models · Open-weight catch-up · Model Context Protocol (MCP) · AWS MCP Server (managed) · GPT-Realtime-2 voice stack · OpenAI GPT-5.5-Cyber (Trusted Access for Cyber) · OS-native agentic AI layer</w:t>
      </w:r>
    </w:p>
    <w:p>
      <w:pPr>
        <w:spacing w:after="160"/>
        <w:ind w:left="216"/>
      </w:pPr>
      <w:r>
        <w:rPr>
          <w:b/>
        </w:rPr>
        <w:t xml:space="preserve">Watch: </w:t>
      </w:r>
      <w:r>
        <w:t>Cursor (Anysphere) (Series D, $29.3B valuation (2026))</w:t>
      </w:r>
    </w:p>
    <w:p>
      <w:r>
        <w:rPr>
          <w:b/>
          <w:sz w:val="22"/>
        </w:rPr>
        <w:t xml:space="preserve">#02  RLHF + reasoning models (test-time compute scaling)  </w:t>
      </w:r>
      <w:r>
        <w:rPr>
          <w:color w:val="57606A"/>
          <w:sz w:val="18"/>
        </w:rPr>
        <w:t>[AI]</w:t>
      </w:r>
    </w:p>
    <w:p>
      <w:pPr>
        <w:spacing w:after="40"/>
      </w:pPr>
      <w:r>
        <w:rPr>
          <w:b/>
        </w:rPr>
        <w:t xml:space="preserve">Impact: </w:t>
      </w:r>
      <w:r>
        <w:t>Reasoning models with test-time compute scaling have fundamentally shifted AI capability distribution from training time to inference time, enabling smaller models to solve previously intractable problems in mathematics, coding, and science while achieving cost-competitive inference.</w:t>
      </w:r>
    </w:p>
    <w:p>
      <w:pPr>
        <w:spacing w:after="40"/>
        <w:ind w:left="216"/>
      </w:pPr>
      <w:r>
        <w:rPr>
          <w:b/>
        </w:rPr>
        <w:t xml:space="preserve">Sub-ideas: </w:t>
      </w:r>
      <w:r>
        <w:t>Test-time compute scaling · Pure-RL reasoning (R1-Zero recipe) · RLHF → RLAIF → Constitutional AI · Reasoning distillation · Agentic reasoning + tool use</w:t>
      </w:r>
    </w:p>
    <w:p>
      <w:pPr>
        <w:spacing w:after="160"/>
        <w:ind w:left="216"/>
      </w:pPr>
      <w:r>
        <w:rPr>
          <w:b/>
        </w:rPr>
        <w:t xml:space="preserve">Watch: </w:t>
      </w:r>
      <w:r>
        <w:t>xAI Grok 5 (Private; xAI acquired by SpaceX in February 2026)</w:t>
      </w:r>
    </w:p>
    <w:p>
      <w:r>
        <w:rPr>
          <w:b/>
          <w:sz w:val="22"/>
        </w:rPr>
        <w:t xml:space="preserve">#03  Diffusion models (image + video generation)  </w:t>
      </w:r>
      <w:r>
        <w:rPr>
          <w:color w:val="57606A"/>
          <w:sz w:val="18"/>
        </w:rPr>
        <w:t>[AI]</w:t>
      </w:r>
    </w:p>
    <w:p>
      <w:pPr>
        <w:spacing w:after="40"/>
      </w:pPr>
      <w:r>
        <w:rPr>
          <w:b/>
        </w:rPr>
        <w:t xml:space="preserve">Impact: </w:t>
      </w:r>
      <w:r>
        <w:t>Diffusion transformers have democratized high-quality image and video generation, enabling consumer-accessible creative tools that generate photorealistic content at scale while emerging world models show potential for physics-aware simulation applicable to autonomous systems and robotics.</w:t>
      </w:r>
    </w:p>
    <w:p>
      <w:pPr>
        <w:spacing w:after="40"/>
        <w:ind w:left="216"/>
      </w:pPr>
      <w:r>
        <w:rPr>
          <w:b/>
        </w:rPr>
        <w:t xml:space="preserve">Sub-ideas: </w:t>
      </w:r>
      <w:r>
        <w:t>Latent diffusion · Diffusion transformers (DiT) · Long-form video generation · World models · One-step / real-time generation</w:t>
      </w:r>
    </w:p>
    <w:p>
      <w:pPr>
        <w:spacing w:after="160"/>
        <w:ind w:left="216"/>
      </w:pPr>
      <w:r>
        <w:rPr>
          <w:b/>
        </w:rPr>
        <w:t xml:space="preserve">Watch: </w:t>
      </w:r>
      <w:r>
        <w:t>Stability AI Cascade Model (Venture-backed; facing financial difficulties since 2024)</w:t>
      </w:r>
    </w:p>
    <w:p>
      <w:r>
        <w:rPr>
          <w:b/>
          <w:sz w:val="22"/>
        </w:rPr>
        <w:t xml:space="preserve">#04  AlphaFold + computational protein design  </w:t>
      </w:r>
      <w:r>
        <w:rPr>
          <w:color w:val="57606A"/>
          <w:sz w:val="18"/>
        </w:rPr>
        <w:t>[BIO]</w:t>
      </w:r>
    </w:p>
    <w:p>
      <w:pPr>
        <w:spacing w:after="40"/>
      </w:pPr>
      <w:r>
        <w:rPr>
          <w:b/>
        </w:rPr>
        <w:t xml:space="preserve">Impact: </w:t>
      </w:r>
      <w:r>
        <w:t>AlphaFold and computational design have accelerated protein engineering from random selection to intentional computational design, enabling discovery of novel therapeutics, enzymes, and materials while achieving Nobel Prize recognition in 2024.</w:t>
      </w:r>
    </w:p>
    <w:p>
      <w:pPr>
        <w:spacing w:after="40"/>
        <w:ind w:left="216"/>
      </w:pPr>
      <w:r>
        <w:rPr>
          <w:b/>
        </w:rPr>
        <w:t xml:space="preserve">Sub-ideas: </w:t>
      </w:r>
      <w:r>
        <w:t>AlphaFold2 — single-chain folding · AlphaFold3 — multimodal complexes · De novo design with RFdiffusion · Enzyme design · Protein language models</w:t>
      </w:r>
    </w:p>
    <w:p>
      <w:pPr>
        <w:spacing w:after="160"/>
        <w:ind w:left="216"/>
      </w:pPr>
      <w:r>
        <w:rPr>
          <w:b/>
        </w:rPr>
        <w:t xml:space="preserve">Watch: </w:t>
      </w:r>
      <w:r>
        <w:t>Chai Discovery (Series B: $130M (Oak HC/FT, General Catalyst); Series A: $70M (Menlo Ventures); Total ~$231M)</w:t>
      </w:r>
    </w:p>
    <w:p>
      <w:r>
        <w:rPr>
          <w:b/>
          <w:sz w:val="22"/>
        </w:rPr>
        <w:t xml:space="preserve">#05  mRNA vaccines + LNP delivery  </w:t>
      </w:r>
      <w:r>
        <w:rPr>
          <w:color w:val="57606A"/>
          <w:sz w:val="18"/>
        </w:rPr>
        <w:t>[BIO]</w:t>
      </w:r>
    </w:p>
    <w:p>
      <w:pPr>
        <w:spacing w:after="40"/>
      </w:pPr>
      <w:r>
        <w:rPr>
          <w:b/>
        </w:rPr>
        <w:t xml:space="preserve">Impact: </w:t>
      </w:r>
      <w:r>
        <w:t>mRNA vaccines with LNP delivery have moved from basic science proof-of-concept (Karikó/Weissman 2005) to &gt;13 billion COVID-19 doses and now expanding into personalized cancer vaccines with multi-year survival benefits.</w:t>
      </w:r>
    </w:p>
    <w:p>
      <w:pPr>
        <w:spacing w:after="40"/>
        <w:ind w:left="216"/>
      </w:pPr>
      <w:r>
        <w:rPr>
          <w:b/>
        </w:rPr>
        <w:t xml:space="preserve">Sub-ideas: </w:t>
      </w:r>
      <w:r>
        <w:t>Pseudouridine-modified mRNA · Lipid nanoparticle (LNP) delivery · Personalized cancer vaccines · In vivo CAR-T via mRNA-LNP · Self-amplifying &amp; circular RNA · Reduced-reactogenicity LNP-mRNA · OspA mRNA-LNP (Lyme) · Personalized neoantigen mRNA cancer vaccines</w:t>
      </w:r>
    </w:p>
    <w:p>
      <w:pPr>
        <w:spacing w:after="160"/>
        <w:ind w:left="216"/>
      </w:pPr>
      <w:r>
        <w:rPr>
          <w:b/>
        </w:rPr>
        <w:t xml:space="preserve">Watch: </w:t>
      </w:r>
      <w:r>
        <w:t>Moderna/Merck cancer vaccine program (Funded by Moderna ($10B+ annual R&amp;D) and Merck partnership)</w:t>
      </w:r>
    </w:p>
    <w:p>
      <w:r>
        <w:rPr>
          <w:b/>
          <w:sz w:val="22"/>
        </w:rPr>
        <w:t xml:space="preserve">#06  GLP-1 agonists  </w:t>
      </w:r>
      <w:r>
        <w:rPr>
          <w:color w:val="57606A"/>
          <w:sz w:val="18"/>
        </w:rPr>
        <w:t>[BIO]</w:t>
      </w:r>
    </w:p>
    <w:p>
      <w:pPr>
        <w:spacing w:after="40"/>
      </w:pPr>
      <w:r>
        <w:rPr>
          <w:b/>
        </w:rPr>
        <w:t xml:space="preserve">Impact: </w:t>
      </w:r>
      <w:r>
        <w:t>GLP-1 agonists have revolutionized type 2 diabetes and obesity treatment, shifting paradigm from symptomatic glycemic control to weight loss-driven metabolic improvement, with &gt;$20B annual market value by 2026.</w:t>
      </w:r>
    </w:p>
    <w:p>
      <w:pPr>
        <w:spacing w:after="40"/>
        <w:ind w:left="216"/>
      </w:pPr>
      <w:r>
        <w:rPr>
          <w:b/>
        </w:rPr>
        <w:t xml:space="preserve">Sub-ideas: </w:t>
      </w:r>
      <w:r>
        <w:t>Semaglutide (mono GLP-1) · Tirzepatide (dual GIP/GLP-1) · Retatrutide (triple agonist) · Oral GLP-1s · Indication expansion</w:t>
      </w:r>
    </w:p>
    <w:p>
      <w:pPr>
        <w:spacing w:after="160"/>
        <w:ind w:left="216"/>
      </w:pPr>
      <w:r>
        <w:rPr>
          <w:b/>
        </w:rPr>
        <w:t xml:space="preserve">Watch: </w:t>
      </w:r>
      <w:r>
        <w:t>Retatrutide clinical program (Eli Lilly) (Eli Lilly internal R&amp;D ($3B+ annual pharma R&amp;D))</w:t>
      </w:r>
    </w:p>
    <w:p>
      <w:r>
        <w:rPr>
          <w:b/>
          <w:sz w:val="22"/>
        </w:rPr>
        <w:t xml:space="preserve">#07  CRISPR therapies (Casgevy + base/prime editing)  </w:t>
      </w:r>
      <w:r>
        <w:rPr>
          <w:color w:val="57606A"/>
          <w:sz w:val="18"/>
        </w:rPr>
        <w:t>[BIO]</w:t>
      </w:r>
    </w:p>
    <w:p>
      <w:pPr>
        <w:spacing w:after="40"/>
      </w:pPr>
      <w:r>
        <w:rPr>
          <w:b/>
        </w:rPr>
        <w:t xml:space="preserve">Impact: </w:t>
      </w:r>
      <w:r>
        <w:t>Casgevy approval (December 2023) marked first FDA-approved CRISPR therapy; 23+ clinical trials now active with base/prime editing showing efficacy in rare genetic diseases and potential for broader indications.</w:t>
      </w:r>
    </w:p>
    <w:p>
      <w:pPr>
        <w:spacing w:after="40"/>
        <w:ind w:left="216"/>
      </w:pPr>
      <w:r>
        <w:rPr>
          <w:b/>
        </w:rPr>
        <w:t xml:space="preserve">Sub-ideas: </w:t>
      </w:r>
      <w:r>
        <w:t>Ex vivo CRISPR/Cas9 (Casgevy) · Base editing · Prime editing · In vivo CRISPR via LNP · Epigenome editing</w:t>
      </w:r>
    </w:p>
    <w:p>
      <w:pPr>
        <w:spacing w:after="160"/>
        <w:ind w:left="216"/>
      </w:pPr>
      <w:r>
        <w:rPr>
          <w:b/>
        </w:rPr>
        <w:t xml:space="preserve">Watch: </w:t>
      </w:r>
      <w:r>
        <w:t>Prime Medicine (prime editing platform) (Series B: $200M+ (2022); backed by Jeff Bezos and others)</w:t>
      </w:r>
    </w:p>
    <w:p>
      <w:r>
        <w:rPr>
          <w:b/>
          <w:sz w:val="22"/>
        </w:rPr>
        <w:t xml:space="preserve">#08  Quantum error correction (logical qubits below threshold)  </w:t>
      </w:r>
      <w:r>
        <w:rPr>
          <w:color w:val="57606A"/>
          <w:sz w:val="18"/>
        </w:rPr>
        <w:t>[QUANTUM]</w:t>
      </w:r>
    </w:p>
    <w:p>
      <w:pPr>
        <w:spacing w:after="40"/>
      </w:pPr>
      <w:r>
        <w:rPr>
          <w:b/>
        </w:rPr>
        <w:t xml:space="preserve">Impact: </w:t>
      </w:r>
      <w:r>
        <w:t>Crossed theoretical threshold for scalable quantum computing; demonstrated exponential error suppression on real hardware for the first time, moving from physics milestone to engineering milestone.</w:t>
      </w:r>
    </w:p>
    <w:p>
      <w:pPr>
        <w:spacing w:after="40"/>
        <w:ind w:left="216"/>
      </w:pPr>
      <w:r>
        <w:rPr>
          <w:b/>
        </w:rPr>
        <w:t xml:space="preserve">Sub-ideas: </w:t>
      </w:r>
      <w:r>
        <w:t>Surface code below threshold · Logical qubits with virtualization · Bivariate bicycle / qLDPC codes · Cat qubits &amp; bosonic codes · Real-time decoding hardware</w:t>
      </w:r>
    </w:p>
    <w:p>
      <w:pPr>
        <w:spacing w:after="160"/>
        <w:ind w:left="216"/>
      </w:pPr>
      <w:r>
        <w:rPr>
          <w:b/>
        </w:rPr>
        <w:t xml:space="preserve">Watch: </w:t>
      </w:r>
      <w:r>
        <w:t>PsiQuantum (Significant DARPA backing; private funding round details proprietary)</w:t>
      </w:r>
    </w:p>
    <w:p>
      <w:r>
        <w:rPr>
          <w:b/>
          <w:sz w:val="22"/>
        </w:rPr>
        <w:t xml:space="preserve">#09  Reusable rockets (Falcon 9 + Starship catch)  </w:t>
      </w:r>
      <w:r>
        <w:rPr>
          <w:color w:val="57606A"/>
          <w:sz w:val="18"/>
        </w:rPr>
        <w:t>[SPACE]</w:t>
      </w:r>
    </w:p>
    <w:p>
      <w:pPr>
        <w:spacing w:after="40"/>
      </w:pPr>
      <w:r>
        <w:rPr>
          <w:b/>
        </w:rPr>
        <w:t xml:space="preserve">Impact: </w:t>
      </w:r>
      <w:r>
        <w:t>Demonstrated booster reusability at scale (Falcon 9) and tower-catch recovery capability for heavy-lift (Starship/Mechazilla), reducing per-flight costs by 50%+ and enabling rapid cadence launch operations.</w:t>
      </w:r>
    </w:p>
    <w:p>
      <w:pPr>
        <w:spacing w:after="40"/>
        <w:ind w:left="216"/>
      </w:pPr>
      <w:r>
        <w:rPr>
          <w:b/>
        </w:rPr>
        <w:t xml:space="preserve">Sub-ideas: </w:t>
      </w:r>
      <w:r>
        <w:t>Falcon 9 booster reuse · Mechazilla booster catch (Starship) · Fully reusable upper stage · Fairing recovery · Heavy-lift competition opens up</w:t>
      </w:r>
    </w:p>
    <w:p>
      <w:pPr>
        <w:spacing w:after="160"/>
        <w:ind w:left="216"/>
      </w:pPr>
      <w:r>
        <w:rPr>
          <w:b/>
        </w:rPr>
        <w:t xml:space="preserve">Watch: </w:t>
      </w:r>
      <w:r>
        <w:t>Blue Origin New Glenn (Internal Blue Origin funding; Jeff Bezos backed)</w:t>
      </w:r>
    </w:p>
    <w:p>
      <w:r>
        <w:rPr>
          <w:b/>
          <w:sz w:val="22"/>
        </w:rPr>
        <w:t xml:space="preserve">#10  Renewables + battery cost collapse  </w:t>
      </w:r>
      <w:r>
        <w:rPr>
          <w:color w:val="57606A"/>
          <w:sz w:val="18"/>
        </w:rPr>
        <w:t>[ENERGY]</w:t>
      </w:r>
    </w:p>
    <w:p>
      <w:pPr>
        <w:spacing w:after="40"/>
      </w:pPr>
      <w:r>
        <w:rPr>
          <w:b/>
        </w:rPr>
        <w:t xml:space="preserve">Impact: </w:t>
      </w:r>
      <w:r>
        <w:t>Battery costs collapsed 80% since 2010 ($1,200 to $108/kWh); solar &amp; wind LCOE below fossil gas; renewable capacity additions accelerating; grid storage emerging as competitive energy arbitrage asset class.</w:t>
      </w:r>
    </w:p>
    <w:p>
      <w:pPr>
        <w:spacing w:after="40"/>
        <w:ind w:left="216"/>
      </w:pPr>
      <w:r>
        <w:rPr>
          <w:b/>
        </w:rPr>
        <w:t xml:space="preserve">Sub-ideas: </w:t>
      </w:r>
      <w:r>
        <w:t>Solar PV cost collapse · Lithium-ion battery price below $100/kWh · LFP chemistry takeover · Sodium-ion mass production · Long-duration storage (iron-air)</w:t>
      </w:r>
    </w:p>
    <w:p>
      <w:pPr>
        <w:spacing w:after="160"/>
        <w:ind w:left="216"/>
      </w:pPr>
      <w:r>
        <w:rPr>
          <w:b/>
        </w:rPr>
        <w:t xml:space="preserve">Watch: </w:t>
      </w:r>
      <w:r>
        <w:t>BYD Sodium-Ion (Internal BYD funding; $37B+ market cap; profitable EV/battery leader)</w:t>
      </w:r>
    </w:p>
    <w:p>
      <w:r>
        <w:rPr>
          <w:b/>
          <w:sz w:val="22"/>
        </w:rPr>
        <w:t xml:space="preserve">#11  Self-driving cars / robotaxis  </w:t>
      </w:r>
      <w:r>
        <w:rPr>
          <w:color w:val="57606A"/>
          <w:sz w:val="18"/>
        </w:rPr>
        <w:t>[AI]</w:t>
      </w:r>
    </w:p>
    <w:p>
      <w:pPr>
        <w:spacing w:after="40"/>
      </w:pPr>
      <w:r>
        <w:rPr>
          <w:b/>
        </w:rPr>
        <w:t xml:space="preserve">Impact: </w:t>
      </w:r>
      <w:r>
        <w:t>Robotaxis crossed from pilot to scaled commercial reality between 2023–2025 — Waymo passing 4M paid driverless trips with peer-reviewed safety data, Tesla launching FSD-based robotaxis, and Aurora running fully driverless freight — finally validating a 15-year capital cycle.</w:t>
      </w:r>
    </w:p>
    <w:p>
      <w:pPr>
        <w:spacing w:after="40"/>
        <w:ind w:left="216"/>
      </w:pPr>
      <w:r>
        <w:rPr>
          <w:b/>
        </w:rPr>
        <w:t xml:space="preserve">Sub-ideas: </w:t>
      </w:r>
      <w:r>
        <w:t>Waymo's mapped + LiDAR robotaxi stack · End-to-end neural-net driving · Autonomous trucking · Generative-AI simulation · Chinese robotaxi at scale</w:t>
      </w:r>
    </w:p>
    <w:p>
      <w:pPr>
        <w:spacing w:after="160"/>
        <w:ind w:left="216"/>
      </w:pPr>
      <w:r>
        <w:rPr>
          <w:b/>
        </w:rPr>
        <w:t xml:space="preserve">Watch: </w:t>
      </w:r>
      <w:r>
        <w:t>Wayve (Series C, $1.05B led by SoftBank (May 2024); also NVIDIA, Microsoft)</w:t>
      </w:r>
    </w:p>
    <w:p>
      <w:r>
        <w:rPr>
          <w:b/>
          <w:sz w:val="22"/>
        </w:rPr>
        <w:t xml:space="preserve">#12  Humanoid robotics  </w:t>
      </w:r>
      <w:r>
        <w:rPr>
          <w:color w:val="57606A"/>
          <w:sz w:val="18"/>
        </w:rPr>
        <w:t>[ROBOTICS]</w:t>
      </w:r>
    </w:p>
    <w:p>
      <w:pPr>
        <w:spacing w:after="40"/>
      </w:pPr>
      <w:r>
        <w:rPr>
          <w:b/>
        </w:rPr>
        <w:t xml:space="preserve">Impact: </w:t>
      </w:r>
      <w:r>
        <w:t>Humanoid robotics moved from research demos to low-volume industrial production between late 2024 and May 2026 — Tesla and Boston Dynamics in factories, Figure on the BMW line, 1X taking consumer pre-orders, with VLA models (RT-2, π0, Helix) finally enabling task generalization beyond hand-coded behaviors.</w:t>
      </w:r>
    </w:p>
    <w:p>
      <w:pPr>
        <w:spacing w:after="40"/>
        <w:ind w:left="216"/>
      </w:pPr>
      <w:r>
        <w:rPr>
          <w:b/>
        </w:rPr>
        <w:t xml:space="preserve">Sub-ideas: </w:t>
      </w:r>
      <w:r>
        <w:t>Vision-Language-Action (VLA) foundation models · Tactile sensing &amp; dexterous manipulation · Sim-to-real RL &amp; whole-body control · Data factories &amp; teleoperation scaling · Form-factor convergence (26–32 DOF bipedal) · MolmoAct2 (open VLA)</w:t>
      </w:r>
    </w:p>
    <w:p>
      <w:pPr>
        <w:spacing w:after="160"/>
        <w:ind w:left="216"/>
      </w:pPr>
      <w:r>
        <w:rPr>
          <w:b/>
        </w:rPr>
        <w:t xml:space="preserve">Watch: </w:t>
      </w:r>
      <w:r>
        <w:t>Figure AI (Series C ~$1.5B at $39.5B valuation (Sep 2025); ~$1.9B total raised)</w:t>
      </w:r>
    </w:p>
    <w:p>
      <w:r>
        <w:rPr>
          <w:b/>
          <w:sz w:val="22"/>
        </w:rPr>
        <w:t xml:space="preserve">#13  Fusion energy  </w:t>
      </w:r>
      <w:r>
        <w:rPr>
          <w:color w:val="57606A"/>
          <w:sz w:val="18"/>
        </w:rPr>
        <w:t>[ENERGY]</w:t>
      </w:r>
    </w:p>
    <w:p>
      <w:pPr>
        <w:spacing w:after="40"/>
      </w:pPr>
      <w:r>
        <w:rPr>
          <w:b/>
        </w:rPr>
        <w:t xml:space="preserve">Impact: </w:t>
      </w:r>
      <w:r>
        <w:t>Fusion went from public-science promise to active commercial track between 2022 and 2026: NIF demonstrated repeatable net energy gain, CFS broke ground on SPARC with HTS magnets, and Helion shipped a D-T plasma machine on the way to a 50 MW commercial PPA with Microsoft.</w:t>
      </w:r>
    </w:p>
    <w:p>
      <w:pPr>
        <w:spacing w:after="40"/>
        <w:ind w:left="216"/>
      </w:pPr>
      <w:r>
        <w:rPr>
          <w:b/>
        </w:rPr>
        <w:t xml:space="preserve">Sub-ideas: </w:t>
      </w:r>
      <w:r>
        <w:t>Tokamak (magnetic confinement) · Inertial confinement (laser-driven) · HTS (high-temperature superconductor) magnets · AI plasma control · Alternative confinement concepts</w:t>
      </w:r>
    </w:p>
    <w:p>
      <w:pPr>
        <w:spacing w:after="160"/>
        <w:ind w:left="216"/>
      </w:pPr>
      <w:r>
        <w:rPr>
          <w:b/>
        </w:rPr>
        <w:t xml:space="preserve">Watch: </w:t>
      </w:r>
      <w:r>
        <w:t>Commonwealth Fusion Systems (SPARC) ($3.0B total; Series B2 $863M (Aug 2025) led by Nvidia, Google, Bill Gates)</w:t>
      </w:r>
    </w:p>
    <w:p>
      <w:r>
        <w:rPr>
          <w:b/>
          <w:sz w:val="22"/>
        </w:rPr>
        <w:t xml:space="preserve">#14  Brain-computer interfaces  </w:t>
      </w:r>
      <w:r>
        <w:rPr>
          <w:color w:val="57606A"/>
          <w:sz w:val="18"/>
        </w:rPr>
        <w:t>[BIO]</w:t>
      </w:r>
    </w:p>
    <w:p>
      <w:pPr>
        <w:spacing w:after="40"/>
      </w:pPr>
      <w:r>
        <w:rPr>
          <w:b/>
        </w:rPr>
        <w:t xml:space="preserve">Impact: </w:t>
      </w:r>
      <w:r>
        <w:t>BCIs crossed from lab to early commercial reality between 2024 and 2026: Neuralink put 5+ patients on the Telepathy implant, Precision Neuroscience took home the first wireless-cortical-BCI 510(k), BrainGate hit 110 cpm bimanual typing, UCSF restored speech at 78 wpm, and Meta shipped a 20.9 wpm sEMG wristband to consumers.</w:t>
      </w:r>
    </w:p>
    <w:p>
      <w:pPr>
        <w:spacing w:after="40"/>
        <w:ind w:left="216"/>
      </w:pPr>
      <w:r>
        <w:rPr>
          <w:b/>
        </w:rPr>
        <w:t xml:space="preserve">Sub-ideas: </w:t>
      </w:r>
      <w:r>
        <w:t>Intracortical microelectrode arrays (Utah arrays) · Endovascular BCI (Stentrode) · High-bandwidth thin-film cortical interfaces · Speech decoding &amp; synthesis · Non-invasive consumer BCI (EMG / EEG / fNIRS)</w:t>
      </w:r>
    </w:p>
    <w:p>
      <w:pPr>
        <w:spacing w:after="160"/>
        <w:ind w:left="216"/>
      </w:pPr>
      <w:r>
        <w:rPr>
          <w:b/>
        </w:rPr>
        <w:t xml:space="preserve">Watch: </w:t>
      </w:r>
      <w:r>
        <w:t>Neuralink Blindsight (Reported $1B+ private equity, Musk-led)</w:t>
      </w:r>
    </w:p>
    <w:p>
      <w:r>
        <w:rPr>
          <w:b/>
          <w:sz w:val="22"/>
        </w:rPr>
        <w:t xml:space="preserve">#15  AI accelerators / advanced compute  </w:t>
      </w:r>
      <w:r>
        <w:rPr>
          <w:color w:val="57606A"/>
          <w:sz w:val="18"/>
        </w:rPr>
        <w:t>[HARDWARE]</w:t>
      </w:r>
    </w:p>
    <w:p>
      <w:pPr>
        <w:spacing w:after="40"/>
      </w:pPr>
      <w:r>
        <w:rPr>
          <w:b/>
        </w:rPr>
        <w:t xml:space="preserve">Impact: </w:t>
      </w:r>
      <w:r>
        <w:t>GPU-dominated AI compute fractured into specialized lanes between 2024 and 2026 — wafer-scale (Cerebras), inference ASICs (Groq, Etched), photonic interconnect (Lightmatter), and per-hyperscaler custom silicon (TPU/Trainium/Maia/MTIA) — pulling 20–70% of opex out of training and inference.</w:t>
      </w:r>
    </w:p>
    <w:p>
      <w:pPr>
        <w:spacing w:after="40"/>
        <w:ind w:left="216"/>
      </w:pPr>
      <w:r>
        <w:rPr>
          <w:b/>
        </w:rPr>
        <w:t xml:space="preserve">Sub-ideas: </w:t>
      </w:r>
      <w:r>
        <w:t>GPU scaling (Hopper → Blackwell → Rubin) · Wafer-scale processors · Inference-specialized ASICs · Hyperscaler custom silicon · Photonic &amp; neuromorphic compute · Google four-partner inference TPU supply chain</w:t>
      </w:r>
    </w:p>
    <w:p>
      <w:pPr>
        <w:spacing w:after="160"/>
        <w:ind w:left="216"/>
      </w:pPr>
      <w:r>
        <w:rPr>
          <w:b/>
        </w:rPr>
        <w:t xml:space="preserve">Watch: </w:t>
      </w:r>
      <w:r>
        <w:t>Tenstorrent (Series B (2024) led by Khosla Ventures and others)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