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2026-06-19 · 16 breakthroughs · 17 weekly entries</w:t>
      </w:r>
    </w:p>
    <w:p/>
    <w:p>
      <w:pPr>
        <w:pStyle w:val="Heading1"/>
      </w:pPr>
      <w:r>
        <w:t>Latest run · week ending 2026-06-19</w:t>
      </w:r>
    </w:p>
    <w:p>
      <w:r>
        <w:rPr>
          <w:b/>
        </w:rPr>
        <w:t xml:space="preserve">Kind: </w:t>
      </w:r>
      <w:r>
        <w:t>WEEKLY_UPDATE</w:t>
      </w:r>
      <w:r>
        <w:t xml:space="preserve"> · </w:t>
      </w:r>
      <w:r>
        <w:rPr>
          <w:i/>
        </w:rPr>
        <w:t>Generated 2026-06-19T12:42:43</w:t>
      </w:r>
    </w:p>
    <w:p>
      <w:r>
        <w:rPr>
          <w:sz w:val="22"/>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p>
      <w:pPr>
        <w:spacing w:after="40"/>
      </w:pPr>
      <w:r>
        <w:rPr>
          <w:b/>
        </w:rPr>
        <w:t xml:space="preserve">  • New breakthroughs: </w:t>
      </w:r>
      <w:r>
        <w:t>0</w:t>
      </w:r>
    </w:p>
    <w:p>
      <w:pPr>
        <w:spacing w:after="40"/>
      </w:pPr>
      <w:r>
        <w:rPr>
          <w:b/>
        </w:rPr>
        <w:t xml:space="preserve">  • New sub-ideas: </w:t>
      </w:r>
      <w:r>
        <w:t>3</w:t>
      </w:r>
    </w:p>
    <w:p>
      <w:pPr>
        <w:spacing w:after="40"/>
      </w:pPr>
      <w:r>
        <w:rPr>
          <w:b/>
        </w:rPr>
        <w:t xml:space="preserve">  • New frontier results: </w:t>
      </w:r>
      <w:r>
        <w:t>9</w:t>
      </w:r>
    </w:p>
    <w:p>
      <w:pPr>
        <w:spacing w:after="40"/>
      </w:pPr>
      <w:r>
        <w:rPr>
          <w:b/>
        </w:rPr>
        <w:t xml:space="preserve">  • New watch picks: </w:t>
      </w:r>
      <w:r>
        <w:t>4</w:t>
      </w:r>
    </w:p>
    <w:p>
      <w:pPr>
        <w:spacing w:after="40"/>
      </w:pPr>
      <w:r>
        <w:rPr>
          <w:b/>
        </w:rPr>
        <w:t xml:space="preserve">  • New people: </w:t>
      </w:r>
      <w:r>
        <w:t>0</w:t>
      </w:r>
    </w:p>
    <w:p>
      <w:pPr>
        <w:spacing w:after="40"/>
      </w:pPr>
      <w:r>
        <w:rPr>
          <w:b/>
        </w:rPr>
        <w:t xml:space="preserve">  • Updated facts: </w:t>
      </w:r>
      <w:r>
        <w:t>6</w:t>
      </w:r>
    </w:p>
    <w:p>
      <w:pPr>
        <w:pStyle w:val="Heading2"/>
      </w:pPr>
      <w:r>
        <w:t>Highlights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GLM-5.2: first open-weight model past 80% on Terminal-Bench 2.1</w:t>
      </w:r>
      <w:r>
        <w:t xml:space="preserve"> — </w:t>
      </w:r>
      <w:r>
        <w:t>Z.ai released GLM-5.2 (744B-param MoE, 40B active, 1M context, MIT license) in mid-June 2026; reported as the first open-weight model to cross 80% on Terminal-Bench 2.1 (81.0) and 62.1 on SWE-bench Pro, beating GPT-5.5 (58.6) at roughly 1/6th the cost.</w:t>
      </w:r>
      <w:r>
        <w:rPr>
          <w:color w:val="0969DA"/>
          <w:sz w:val="16"/>
        </w:rPr>
        <w:t xml:space="preserve">  (https://huggingface.co/blog/zai-org/glm-52-blog)</w:t>
      </w:r>
      <w:r>
        <w:rPr>
          <w:color w:val="0969DA"/>
          <w:sz w:val="16"/>
        </w:rPr>
        <w:t xml:space="preserve">  (https://venturebeat.com/technology/z-ais-open-weights-glm-5-2-beats-gpt-5-5-on-multiple-long-horizon-coding-benchmarks-for-1-6th-the-cost)</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IndexShare: shared sparse-attention indexer cuts per-token FLOPs 2.9x at 1M ctx</w:t>
      </w:r>
      <w:r>
        <w:t xml:space="preserve"> — </w:t>
      </w:r>
      <w:r>
        <w:t>GLM-5.2 introduces IndexShare, reusing one indexer across every four sparse-attention layers to cut per-token FLOPs by 2.9x at 1M-token context — an attention-efficiency technique enabling cheap long-horizon agentic coding in an open-weight model.</w:t>
      </w:r>
      <w:r>
        <w:rPr>
          <w:color w:val="0969DA"/>
          <w:sz w:val="16"/>
        </w:rPr>
        <w:t xml:space="preserve">  (https://huggingface.co/blog/zai-org/glm-52-blog)</w:t>
      </w:r>
    </w:p>
    <w:p>
      <w:pPr>
        <w:spacing w:after="40"/>
      </w:pPr>
      <w:r>
        <w:rPr>
          <w:b/>
          <w:color w:val="0969DA"/>
          <w:sz w:val="18"/>
        </w:rPr>
        <w:t xml:space="preserve">[New frontier result]  </w:t>
      </w:r>
      <w:r>
        <w:rPr>
          <w:i/>
          <w:color w:val="57606A"/>
          <w:sz w:val="18"/>
        </w:rPr>
        <w:t xml:space="preserve">#03 Diffusion models (image + video generation)  </w:t>
      </w:r>
    </w:p>
    <w:p>
      <w:pPr>
        <w:spacing w:after="80"/>
        <w:ind w:left="360"/>
      </w:pPr>
      <w:r>
        <w:rPr>
          <w:b/>
        </w:rPr>
        <w:t>DiffusionGemma: Google open-weight text-diffusion LLM, 1000+ tok/s on one H100</w:t>
      </w:r>
      <w:r>
        <w:t xml:space="preserve"> — </w:t>
      </w:r>
      <w:r>
        <w:t>Google DeepMind released DiffusionGemma (2026-06-10), a 26B-A4B MoE text-diffusion model (3.8B active) under Apache 2.0 that denoises a 256-token canvas in parallel for up to 4x faster generation (1000+ tok/s on one H100), with bidirectional self-correction and vLLM support.</w:t>
      </w:r>
      <w:r>
        <w:rPr>
          <w:color w:val="0969DA"/>
          <w:sz w:val="16"/>
        </w:rPr>
        <w:t xml:space="preserve">  (https://developers.googleblog.com/diffusiongemma-the-developer-guide/)</w:t>
      </w:r>
      <w:r>
        <w:rPr>
          <w:color w:val="0969DA"/>
          <w:sz w:val="16"/>
        </w:rPr>
        <w:t xml:space="preserve">  (https://blog.google/innovation-and-ai/technology/developers-tools/diffusion-gemma-faster-text-generation/)</w:t>
      </w:r>
    </w:p>
    <w:p>
      <w:pPr>
        <w:spacing w:after="40"/>
      </w:pPr>
      <w:r>
        <w:rPr>
          <w:b/>
          <w:color w:val="0E6E6F"/>
          <w:sz w:val="18"/>
        </w:rPr>
        <w:t xml:space="preserve">[New watch pick]  </w:t>
      </w:r>
      <w:r>
        <w:rPr>
          <w:i/>
          <w:color w:val="57606A"/>
          <w:sz w:val="18"/>
        </w:rPr>
        <w:t xml:space="preserve">#11 Self-driving cars / robotaxis  </w:t>
      </w:r>
    </w:p>
    <w:p>
      <w:pPr>
        <w:spacing w:after="80"/>
        <w:ind w:left="360"/>
      </w:pPr>
      <w:r>
        <w:rPr>
          <w:b/>
        </w:rPr>
        <w:t>Stellantis + Wayve + Uber sign MoU to scale L4 robotaxis globally</w:t>
      </w:r>
      <w:r>
        <w:t xml:space="preserve"> — </w:t>
      </w:r>
      <w:r>
        <w:t>On 2026-06-17 Stellantis, Wayve and Uber signed a non-binding MoU to develop and deploy Level-4 robotaxis at global scale, pairing Stellantis 'L4-Ready Platforms', Wayve's mapless end-to-end AI Driver, and Uber's network across Europe and North America.</w:t>
      </w:r>
      <w:r>
        <w:rPr>
          <w:color w:val="0969DA"/>
          <w:sz w:val="16"/>
        </w:rPr>
        <w:t xml:space="preserve">  (https://www.stellantis.com/en/news/press-releases/2026/june/stellantis-wayve-and-uber-partner-to-scale-robotaxis-globally)</w:t>
      </w:r>
      <w:r>
        <w:rPr>
          <w:color w:val="0969DA"/>
          <w:sz w:val="16"/>
        </w:rPr>
        <w:t xml:space="preserve">  (https://wayve.ai/press/stellantis-wayve-uber-robotaxi-partnership/)</w:t>
      </w:r>
    </w:p>
    <w:p>
      <w:pPr>
        <w:spacing w:after="40"/>
      </w:pPr>
      <w:r>
        <w:rPr>
          <w:b/>
          <w:color w:val="0969DA"/>
          <w:sz w:val="18"/>
        </w:rPr>
        <w:t xml:space="preserve">[New frontier result]  </w:t>
      </w:r>
      <w:r>
        <w:rPr>
          <w:i/>
          <w:color w:val="57606A"/>
          <w:sz w:val="18"/>
        </w:rPr>
        <w:t xml:space="preserve">#02 RLHF + reasoning models (test-time compute scaling)  </w:t>
      </w:r>
    </w:p>
    <w:p>
      <w:pPr>
        <w:spacing w:after="80"/>
        <w:ind w:left="360"/>
      </w:pPr>
      <w:r>
        <w:rPr>
          <w:b/>
        </w:rPr>
        <w:t>Test-time-compute scaling fails for long-horizon coding agents; representation is the bottleneck</w:t>
      </w:r>
      <w:r>
        <w:t xml:space="preserve"> — </w:t>
      </w:r>
      <w:r>
        <w:t>arxiv 2604.16529 ('Scaling Test-Time Compute for Agentic Coding', Kim et al., incl. Salakhutdinov/Synnaeve) reports standard test-time scaling (parallel sampling/best-of-N) does not transfer cleanly to long-horizon agents, identifying how to represent and reuse prior experience — not raw compute — as the central bottleneck. Surging on arxiv/alphaXiv.</w:t>
      </w:r>
      <w:r>
        <w:rPr>
          <w:color w:val="0969DA"/>
          <w:sz w:val="16"/>
        </w:rPr>
        <w:t xml:space="preserve">  (https://arxiv.org/abs/2604.16529)</w:t>
      </w:r>
    </w:p>
    <w:p>
      <w:pPr>
        <w:spacing w:after="40"/>
      </w:pPr>
      <w:r>
        <w:rPr>
          <w:b/>
          <w:color w:val="9A6700"/>
          <w:sz w:val="18"/>
        </w:rPr>
        <w:t xml:space="preserve">[Updated fact]  </w:t>
      </w:r>
      <w:r>
        <w:rPr>
          <w:i/>
          <w:color w:val="57606A"/>
          <w:sz w:val="18"/>
        </w:rPr>
        <w:t xml:space="preserve">#16 AI dev ecosystem &amp; agent primitives (MCP, skills, agents, orchestration)  </w:t>
      </w:r>
    </w:p>
    <w:p>
      <w:pPr>
        <w:spacing w:after="80"/>
        <w:ind w:left="360"/>
      </w:pPr>
      <w:r>
        <w:rPr>
          <w:b/>
        </w:rPr>
        <w:t>MCP statelessness lands in 2026-07-28 spec RC; Claude gets enterprise-managed MCP + sandboxed agents</w:t>
      </w:r>
      <w:r>
        <w:t xml:space="preserve"> — </w:t>
      </w:r>
      <w:r>
        <w:t>MCP statelessness changes landed in the MCP 2026-07-28 release candidate (published May 2026); Anthropic added enterprise-managed MCP connectors (Okta first, zero-touch on first login) and self-hosted sandboxes plus MCP tunnels that let managed agents reach private MCP servers.</w:t>
      </w:r>
      <w:r>
        <w:rPr>
          <w:color w:val="0969DA"/>
          <w:sz w:val="16"/>
        </w:rPr>
        <w:t xml:space="preserve">  (https://platform.claude.com/docs/en/managed-agents/multi-agent)</w:t>
      </w:r>
      <w:r>
        <w:rPr>
          <w:color w:val="0969DA"/>
          <w:sz w:val="16"/>
        </w:rPr>
        <w:t xml:space="preserve">  (https://venturebeat.com/ai/claude-agents-can-finally-connect-to-enterprise-apis-without-leaking-credentials)</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Intellia lonvo-z: first positive pivotal Phase 3 for in vivo CRISPR (HAE), NEJM</w:t>
      </w:r>
      <w:r>
        <w:t xml:space="preserve"> — </w:t>
      </w:r>
      <w:r>
        <w:t>At EAACI 2026 (Jun 13, 2026) and published in NEJM, Intellia's lonvoguran ziclumeran (lonvo-z), a single-dose LNP-delivered CRISPR therapy inactivating KLKB1 in the liver, cut mean monthly hereditary-angioedema attacks by 87% vs placebo (p&lt;0.0001) with 62% of patients attack-free over 6 months (vs 11% placebo) — the first positive pivotal Phase 3 for an in vivo CRISPR therapy; rolling BLA targeting 1H 2027.</w:t>
      </w:r>
      <w:r>
        <w:rPr>
          <w:color w:val="0969DA"/>
          <w:sz w:val="16"/>
        </w:rPr>
        <w:t xml:space="preserve">  (https://www.stocktitan.net/news/NTLA/intellia-therapeutics-reports-additional-positive-phase-3-results-afks73wvycew.html)</w:t>
      </w:r>
      <w:r>
        <w:rPr>
          <w:color w:val="0969DA"/>
          <w:sz w:val="16"/>
        </w:rPr>
        <w:t xml:space="preserve">  (https://ir.intelliatx.com/news-releases/news-release-details/intellia-therapeutics-report-additional-phase-3-haelo-data)</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First in vivo prime editing trial cleared: Prime Medicine PM577a for Wilson Disease</w:t>
      </w:r>
      <w:r>
        <w:t xml:space="preserve"> — </w:t>
      </w:r>
      <w:r>
        <w:t>On Jun 18, 2026, Prime Medicine (Nasdaq: PRME) said New Zealand Medsafe cleared the CTA for PM577a, an LNP-delivered in vivo Prime Editor correcting the ATP7B H1069Q mutation in Wilson Disease — the first clinical authorization for an in vivo prime editing therapy; global Phase 1/2 starts 2H 2026.</w:t>
      </w:r>
      <w:r>
        <w:rPr>
          <w:color w:val="0969DA"/>
          <w:sz w:val="16"/>
        </w:rPr>
        <w:t xml:space="preserve">  (https://www.biospace.com/press-releases/prime-medicine-announces-new-zealand-clearance-of-clinical-trial-application-for-pm577a-in-h1069q-mutated-wilson-disease)</w:t>
      </w:r>
    </w:p>
    <w:p>
      <w:pPr>
        <w:spacing w:after="40"/>
      </w:pPr>
      <w:r>
        <w:rPr>
          <w:b/>
          <w:color w:val="0969DA"/>
          <w:sz w:val="18"/>
        </w:rPr>
        <w:t xml:space="preserve">[New frontier result]  </w:t>
      </w:r>
      <w:r>
        <w:rPr>
          <w:i/>
          <w:color w:val="57606A"/>
          <w:sz w:val="18"/>
        </w:rPr>
        <w:t xml:space="preserve">#07 CRISPR therapies (Casgevy + base/prime editing)  </w:t>
      </w:r>
    </w:p>
    <w:p>
      <w:pPr>
        <w:spacing w:after="80"/>
        <w:ind w:left="360"/>
      </w:pPr>
      <w:r>
        <w:rPr>
          <w:b/>
        </w:rPr>
        <w:t>CAR-T for lupus: Autolus obe-cel CARLYSLE Phase 1 data at EULAR 2026</w:t>
      </w:r>
      <w:r>
        <w:t xml:space="preserve"> — </w:t>
      </w:r>
      <w:r>
        <w:t>At EULAR 2026 (announced Jun 12, 2026 by UCL/UCLH), Autolus' fast-off-rate CD19 CAR-T obecabtagene autoleucel (obe-cel) showed that among 6 patients at the 50M target dose, 5/6 (83%) achieved remission per standard lupus criteria, with several reaching complete or partial renal responses, in severe refractory systemic lupus, with a favorable safety profile.</w:t>
      </w:r>
      <w:r>
        <w:rPr>
          <w:color w:val="0969DA"/>
          <w:sz w:val="16"/>
        </w:rPr>
        <w:t xml:space="preserve">  (https://www.uclb.com/2026/06/12/early-promise-reported-in-severe-lupus-for-autolus-therapeutics-car-t-therapy/)</w:t>
      </w:r>
      <w:r>
        <w:rPr>
          <w:color w:val="0969DA"/>
          <w:sz w:val="16"/>
        </w:rPr>
        <w:t xml:space="preserve">  (https://www.ucl.ac.uk/news/2026/jun/car-t-cell-therapy-shows-early-promise-severe-lupus)</w:t>
      </w:r>
    </w:p>
    <w:p>
      <w:pPr>
        <w:spacing w:after="40"/>
      </w:pPr>
      <w:r>
        <w:rPr>
          <w:b/>
          <w:color w:val="0969DA"/>
          <w:sz w:val="18"/>
        </w:rPr>
        <w:t xml:space="preserve">[New frontier result]  </w:t>
      </w:r>
      <w:r>
        <w:rPr>
          <w:i/>
          <w:color w:val="57606A"/>
          <w:sz w:val="18"/>
        </w:rPr>
        <w:t xml:space="preserve">#04 AlphaFold + computational protein design  </w:t>
      </w:r>
    </w:p>
    <w:p>
      <w:pPr>
        <w:spacing w:after="80"/>
        <w:ind w:left="360"/>
      </w:pPr>
      <w:r>
        <w:rPr>
          <w:b/>
        </w:rPr>
        <w:t>EvolutionaryScale/CZ Biohub protein LM beats AF-class on complexes; maps 6.8B sequences</w:t>
      </w:r>
      <w:r>
        <w:t xml:space="preserve"> — </w:t>
      </w:r>
      <w:r>
        <w:t>A bioRxiv preprint (early June 2026) from Alexander Rives and the EvolutionaryScale/CZ Biohub team reports a protein language model that exceeds established methods on biomolecular complex / antibody-antigen prediction, designs nanomolar binders via simple search, and maps 6.8B sequences with 1.1B predicted structures.</w:t>
      </w:r>
      <w:r>
        <w:rPr>
          <w:color w:val="0969DA"/>
          <w:sz w:val="16"/>
        </w:rPr>
        <w:t xml:space="preserve">  (https://www.biorxiv.org/content/10.64898/2026.06.03.729735v1)</w:t>
      </w:r>
    </w:p>
    <w:p>
      <w:pPr>
        <w:spacing w:after="40"/>
      </w:pPr>
      <w:r>
        <w:rPr>
          <w:b/>
          <w:color w:val="0969DA"/>
          <w:sz w:val="18"/>
        </w:rPr>
        <w:t xml:space="preserve">[New frontier result]  </w:t>
      </w:r>
      <w:r>
        <w:rPr>
          <w:i/>
          <w:color w:val="57606A"/>
          <w:sz w:val="18"/>
        </w:rPr>
        <w:t xml:space="preserve">#14 Brain-computer interfaces  </w:t>
      </w:r>
    </w:p>
    <w:p>
      <w:pPr>
        <w:spacing w:after="80"/>
        <w:ind w:left="360"/>
      </w:pPr>
      <w:r>
        <w:rPr>
          <w:b/>
        </w:rPr>
        <w:t>Independent at-home speech+cursor BCI for ALS patient (UC Davis, Nature Medicine)</w:t>
      </w:r>
      <w:r>
        <w:t xml:space="preserve"> — </w:t>
      </w:r>
      <w:r>
        <w:t>A Nature Medicine paper (published 15 June 2026) from UC Davis with Mass General Brigham reports a man with ALS using an intracortical BCI independently at home (3,800+ hours, without researcher support) for both speech-to-text (averaging 56 words/min) and cursor control — a key step from lab demo to durable self-administered assistive tech.</w:t>
      </w:r>
      <w:r>
        <w:rPr>
          <w:color w:val="0969DA"/>
          <w:sz w:val="16"/>
        </w:rPr>
        <w:t xml:space="preserve">  (https://www.nature.com/articles/s41591-026-04414-6)</w:t>
      </w:r>
      <w:r>
        <w:rPr>
          <w:color w:val="0969DA"/>
          <w:sz w:val="16"/>
        </w:rPr>
        <w:t xml:space="preserve">  (https://health.ucdavis.edu/welcome/news/headlines/brain-computer-interface-enables-independent-accurate-communication-for-man-living-with-als/2026/06)</w:t>
      </w:r>
    </w:p>
    <w:p>
      <w:pPr>
        <w:spacing w:after="40"/>
      </w:pPr>
      <w:r>
        <w:rPr>
          <w:b/>
          <w:color w:val="9A6700"/>
          <w:sz w:val="18"/>
        </w:rPr>
        <w:t xml:space="preserve">[Updated fact]  </w:t>
      </w:r>
      <w:r>
        <w:rPr>
          <w:i/>
          <w:color w:val="57606A"/>
          <w:sz w:val="18"/>
        </w:rPr>
        <w:t xml:space="preserve">#05 mRNA vaccines + LNP delivery  </w:t>
      </w:r>
    </w:p>
    <w:p>
      <w:pPr>
        <w:spacing w:after="80"/>
        <w:ind w:left="360"/>
      </w:pPr>
      <w:r>
        <w:rPr>
          <w:b/>
        </w:rPr>
        <w:t>FDA adcomm votes 9-0 for Moderna's mRNA seasonal flu vaccine (mFluvisa)</w:t>
      </w:r>
      <w:r>
        <w:t xml:space="preserve"> — </w:t>
      </w:r>
      <w:r>
        <w:t>On Jun 18, 2026, the FDA's VRBPAC voted unanimously (9-0) in favor of Moderna's mRNA seasonal influenza vaccine (mRNA-1010, brand mFluvisa), backing full approval for adults 50-64 and accelerated approval for 65+ — the first mRNA-based seasonal flu vaccine to reach an FDA adcomm; decision expected Aug 5, 2026.</w:t>
      </w:r>
      <w:r>
        <w:rPr>
          <w:color w:val="0969DA"/>
          <w:sz w:val="16"/>
        </w:rPr>
        <w:t xml:space="preserve">  (https://www.biospace.com/fda/modernas-mrna-flu-shot-wins-unanimous-support-at-fda-adcomm-in-rebuke-of-former-leadership)</w:t>
      </w:r>
    </w:p>
    <w:p>
      <w:pPr>
        <w:spacing w:after="40"/>
      </w:pPr>
      <w:r>
        <w:rPr>
          <w:b/>
          <w:color w:val="9A6700"/>
          <w:sz w:val="18"/>
        </w:rPr>
        <w:t xml:space="preserve">[Updated fact]  </w:t>
      </w:r>
      <w:r>
        <w:rPr>
          <w:i/>
          <w:color w:val="57606A"/>
          <w:sz w:val="18"/>
        </w:rPr>
        <w:t xml:space="preserve">#08 Quantum error correction (logical qubits below threshold)  </w:t>
      </w:r>
    </w:p>
    <w:p>
      <w:pPr>
        <w:spacing w:after="80"/>
        <w:ind w:left="360"/>
      </w:pPr>
      <w:r>
        <w:rPr>
          <w:b/>
        </w:rPr>
        <w:t>QuEra + AWS unveil 'Libra' 256-logical-qubit fault-tolerant system for 2028</w:t>
      </w:r>
      <w:r>
        <w:t xml:space="preserve"> — </w:t>
      </w:r>
      <w:r>
        <w:t>On 2026-06-15 AWS and QuEra announced Libra, a neutral-atom machine targeting over 256 error-corrected logical qubits, a 1e-6 logical error rate, and ~1M reliable logical operations, available via Amazon Braket by 2028.</w:t>
      </w:r>
      <w:r>
        <w:rPr>
          <w:color w:val="0969DA"/>
          <w:sz w:val="16"/>
        </w:rPr>
        <w:t xml:space="preserve">  (https://aws.amazon.com/blogs/quantum-computing/aws-deepens-strategic-collaboration-with-quera-to-bring-fault-tolerant-quantum-computing-to-amazon-braket/)</w:t>
      </w:r>
      <w:r>
        <w:rPr>
          <w:color w:val="0969DA"/>
          <w:sz w:val="16"/>
        </w:rPr>
        <w:t xml:space="preserve">  (https://www.quera.com/press-releases/quera-announces-2028-fault-tolerant-quantum-computer-and-expanded-multi-year-strategic-collaboration-with-aws)</w:t>
      </w:r>
    </w:p>
    <w:p>
      <w:pPr>
        <w:spacing w:after="40"/>
      </w:pPr>
      <w:r>
        <w:rPr>
          <w:b/>
          <w:color w:val="9A6700"/>
          <w:sz w:val="18"/>
        </w:rPr>
        <w:t xml:space="preserve">[Updated fact]  </w:t>
      </w:r>
      <w:r>
        <w:rPr>
          <w:i/>
          <w:color w:val="57606A"/>
          <w:sz w:val="18"/>
        </w:rPr>
        <w:t xml:space="preserve">#09 Reusable rockets (Falcon 9 + Starship catch)  </w:t>
      </w:r>
    </w:p>
    <w:p>
      <w:pPr>
        <w:spacing w:after="80"/>
        <w:ind w:left="360"/>
      </w:pPr>
      <w:r>
        <w:rPr>
          <w:b/>
        </w:rPr>
        <w:t>SpaceX completes IPO; SPCX debuts on Nasdaq at a ~$2.1T valuation</w:t>
      </w:r>
      <w:r>
        <w:t xml:space="preserve"> — </w:t>
      </w:r>
      <w:r>
        <w:t>SpaceX priced its IPO on 2026-06-11 (555,555,555 shares @ $135) and began trading on Nasdaq under 'SPCX' on 2026-06-12, closing up ~19% at ~$161 for a roughly $2.1T valuation — the biggest IPO in history.</w:t>
      </w:r>
      <w:r>
        <w:rPr>
          <w:color w:val="0969DA"/>
          <w:sz w:val="16"/>
        </w:rPr>
        <w:t xml:space="preserve">  (https://content.spacex.com/cms-assets/FINAL_Documents%20and%20Updates/SpaceX_PricingAnnouncement.pdf)</w:t>
      </w:r>
      <w:r>
        <w:rPr>
          <w:color w:val="0969DA"/>
          <w:sz w:val="16"/>
        </w:rPr>
        <w:t xml:space="preserve">  (https://www.cnbc.com/2026/06/12/spacex-ipo-spcx-live-updates.html)</w:t>
      </w:r>
    </w:p>
    <w:p>
      <w:pPr>
        <w:spacing w:after="40"/>
      </w:pPr>
      <w:r>
        <w:rPr>
          <w:b/>
          <w:color w:val="9A6700"/>
          <w:sz w:val="18"/>
        </w:rPr>
        <w:t xml:space="preserve">[Updated fact]  </w:t>
      </w:r>
      <w:r>
        <w:rPr>
          <w:i/>
          <w:color w:val="57606A"/>
          <w:sz w:val="18"/>
        </w:rPr>
        <w:t xml:space="preserve">#10 Renewables + battery cost collapse  </w:t>
      </w:r>
    </w:p>
    <w:p>
      <w:pPr>
        <w:spacing w:after="80"/>
        <w:ind w:left="360"/>
      </w:pPr>
      <w:r>
        <w:rPr>
          <w:b/>
        </w:rPr>
        <w:t>QuantumScape signs Honda as second OEM for solid-state batteries</w:t>
      </w:r>
      <w:r>
        <w:t xml:space="preserve"> — </w:t>
      </w:r>
      <w:r>
        <w:t>On 2026-06-18 QuantumScape (NYSE: QS) announced a multi-year joint research/development agreement with Honda R&amp;D for its solid-state lithium-metal platform, following Honda's completion of a technology evaluation; Honda is QS's second major OEM after Volkswagen/PowerCo.</w:t>
      </w:r>
      <w:r>
        <w:rPr>
          <w:color w:val="0969DA"/>
          <w:sz w:val="16"/>
        </w:rPr>
        <w:t xml:space="preserve">  (https://ir.quantumscape.com/news-releases/news-release-details/quantumscape-announces-agreement-honda-solid-state-battery)</w:t>
      </w:r>
      <w:r>
        <w:rPr>
          <w:color w:val="0969DA"/>
          <w:sz w:val="16"/>
        </w:rPr>
        <w:t xml:space="preserve">  (https://electrek.co/2026/06/18/honda-quantumscape-qs-team-up-solid-state-batteries/)</w:t>
      </w:r>
    </w:p>
    <w:p>
      <w:pPr>
        <w:spacing w:after="40"/>
      </w:pPr>
      <w:r>
        <w:rPr>
          <w:b/>
          <w:color w:val="6639BA"/>
          <w:sz w:val="18"/>
        </w:rPr>
        <w:t xml:space="preserve">[New sub-idea]  </w:t>
      </w:r>
      <w:r>
        <w:rPr>
          <w:i/>
          <w:color w:val="57606A"/>
          <w:sz w:val="18"/>
        </w:rPr>
        <w:t xml:space="preserve">#08 Quantum error correction (logical qubits below threshold)  </w:t>
      </w:r>
    </w:p>
    <w:p>
      <w:pPr>
        <w:spacing w:after="80"/>
        <w:ind w:left="360"/>
      </w:pPr>
      <w:r>
        <w:rPr>
          <w:b/>
        </w:rPr>
        <w:t>D-Wave pivots to dual-rail gate-model FT roadmap (100 logical qubits by 2032)</w:t>
      </w:r>
      <w:r>
        <w:t xml:space="preserve"> — </w:t>
      </w:r>
      <w:r>
        <w:t>On 2026-06-01 D-Wave (NYSE: QBTS), historically an annealing company, unveiled a superconducting gate-model fault-tolerant roadmap built on high-coherence dual-rail qubits (from its Jan-2026 acquisition of Quantum Circuits Inc.), targeting 10 logical qubits by 2030 and 100 logical qubits by 2032.</w:t>
      </w:r>
      <w:r>
        <w:rPr>
          <w:color w:val="0969DA"/>
          <w:sz w:val="16"/>
        </w:rPr>
        <w:t xml:space="preserve">  (https://www.businesswire.com/news/home/20260601444734/en/D-Wave-Charts-a-New-Course-to-Fault-Tolerant-Quantum-Computing-with-Gate-Model-Roadmap)</w:t>
      </w:r>
      <w:r>
        <w:rPr>
          <w:color w:val="0969DA"/>
          <w:sz w:val="16"/>
        </w:rPr>
        <w:t xml:space="preserve">  (https://thequantuminsider.com/2026/06/01/d-waves-new-gate-model-roadmap-puts-pin-in-2032-for-100-logical-qubit-system/)</w:t>
      </w:r>
    </w:p>
    <w:p>
      <w:pPr>
        <w:spacing w:after="40"/>
      </w:pPr>
      <w:r>
        <w:rPr>
          <w:b/>
          <w:color w:val="9A6700"/>
          <w:sz w:val="18"/>
        </w:rPr>
        <w:t xml:space="preserve">[Updated fact]  </w:t>
      </w:r>
      <w:r>
        <w:rPr>
          <w:i/>
          <w:color w:val="57606A"/>
          <w:sz w:val="18"/>
        </w:rPr>
        <w:t xml:space="preserve">#13 Fusion energy  </w:t>
      </w:r>
    </w:p>
    <w:p>
      <w:pPr>
        <w:spacing w:after="80"/>
        <w:ind w:left="360"/>
      </w:pPr>
      <w:r>
        <w:rPr>
          <w:b/>
        </w:rPr>
        <w:t>Helion raises $465M Series G at $15.5B valuation</w:t>
      </w:r>
      <w:r>
        <w:t xml:space="preserve"> — </w:t>
      </w:r>
      <w:r>
        <w:t>On 2026-06-04 Helion Energy closed a $465M Series G led by Thrive Capital (with Lux, Lightspeed, SoftBank Vision Fund 2 and others) at a $15.5B post-money valuation, bringing total raised to ~$1.5B as it builds its Polaris/Orion path to electricity.</w:t>
      </w:r>
      <w:r>
        <w:rPr>
          <w:color w:val="0969DA"/>
          <w:sz w:val="16"/>
        </w:rPr>
        <w:t xml:space="preserve">  (https://www.helionenergy.com/newsroom/helion-raises-465-million-series-g-funding-round-to-meet-surging-global-demand-for-power)</w:t>
      </w:r>
      <w:r>
        <w:rPr>
          <w:color w:val="0969DA"/>
          <w:sz w:val="16"/>
        </w:rPr>
        <w:t xml:space="preserve">  (https://www.businesswire.com/news/home/20260604740624/en/Helion-Raises-$465-Million-Series-G-Funding-Round-to-Meet-Surging-Global-Demand-for-Power)</w:t>
      </w:r>
    </w:p>
    <w:p>
      <w:pPr>
        <w:spacing w:after="40"/>
      </w:pPr>
      <w:r>
        <w:rPr>
          <w:b/>
          <w:color w:val="57606A"/>
          <w:sz w:val="18"/>
        </w:rPr>
        <w:t xml:space="preserve">[BROAD_SCAN]  </w:t>
      </w:r>
    </w:p>
    <w:p>
      <w:pPr>
        <w:spacing w:after="80"/>
        <w:ind w:left="360"/>
      </w:pPr>
      <w:r>
        <w:rPr>
          <w:b/>
        </w:rPr>
        <w:t>Snap ships standalone Specs AR glasses ($2,195) — spatial-computing bet</w:t>
      </w:r>
      <w:r>
        <w:t xml:space="preserve"> — </w:t>
      </w:r>
      <w:r>
        <w:t>On June 16 2026 Snap unveiled consumer Specs (announced at AWE): standalone AR glasses with two Snapdragon chips and a Niantic Spatial VPS-powered shared world map, shipping Fall 2026 in the US/UK/France; CEO Spiegel framed them as a post-smartphone computer.</w:t>
      </w:r>
      <w:r>
        <w:rPr>
          <w:color w:val="0969DA"/>
          <w:sz w:val="16"/>
        </w:rPr>
        <w:t xml:space="preserve">  (https://www.cnbc.com/2026/06/16/snap-unveils-2195-specs-ar-glasses-spiegel-bets-on-post-smartphone.html)</w:t>
      </w:r>
      <w:r>
        <w:rPr>
          <w:color w:val="0969DA"/>
          <w:sz w:val="16"/>
        </w:rPr>
        <w:t xml:space="preserve">  (https://www.uploadvr.com/snap-specs-design-revealed-preorders-open-price/)</w:t>
      </w:r>
    </w:p>
    <w:p>
      <w:pPr>
        <w:spacing w:after="40"/>
      </w:pPr>
      <w:r>
        <w:rPr>
          <w:b/>
          <w:color w:val="57606A"/>
          <w:sz w:val="18"/>
        </w:rPr>
        <w:t xml:space="preserve">[TRENDING_IDEA]  </w:t>
      </w:r>
    </w:p>
    <w:p>
      <w:pPr>
        <w:spacing w:after="80"/>
        <w:ind w:left="360"/>
      </w:pPr>
      <w:r>
        <w:rPr>
          <w:b/>
        </w:rPr>
        <w:t>World models, not LLM scaling, are the path to physical/embodied intelligence</w:t>
      </w:r>
      <w:r>
        <w:t xml:space="preserve"> — </w:t>
      </w:r>
      <w:r>
        <w:t>A thesis surging across independent voices: pre-train on physical-world dynamics (a la transformers for text) to get embodied generalization. Jim Fan's 'Great Parallel,' LeCun's $1.03B AMI Labs (JEPA), Fei-Fei Li's World Labs, and NVIDIA's open Cosmos 3 all push it; a June 18 Fusion Fund critique argues the physical world has no 'universal token' so the analogy may not hold.</w:t>
      </w:r>
      <w:r>
        <w:rPr>
          <w:color w:val="0969DA"/>
          <w:sz w:val="16"/>
        </w:rPr>
        <w:t xml:space="preserve">  (https://www.techtimes.com/articles/318671/20260618/embodied-ai-world-models-attracted-6-billion-llm-parallel-may-not-hold.htm)</w:t>
      </w:r>
      <w:r>
        <w:rPr>
          <w:color w:val="0969DA"/>
          <w:sz w:val="16"/>
        </w:rPr>
        <w:t xml:space="preserve">  (https://www.startuphub.ai/ai-news/ai-figures/2026/figure-yann-lecun-llm-position-evolution-2026-06-16)</w:t>
      </w:r>
      <w:r>
        <w:rPr>
          <w:color w:val="0969DA"/>
          <w:sz w:val="16"/>
        </w:rPr>
        <w:t xml:space="preserve">  (https://www.latent.space/p/ainews-yann-lecuns-ami-labs-launches)</w:t>
      </w:r>
    </w:p>
    <w:p>
      <w:pPr>
        <w:spacing w:after="40"/>
      </w:pPr>
      <w:r>
        <w:rPr>
          <w:b/>
          <w:color w:val="0969DA"/>
          <w:sz w:val="18"/>
        </w:rPr>
        <w:t xml:space="preserve">[New frontier result]  </w:t>
      </w:r>
      <w:r>
        <w:rPr>
          <w:i/>
          <w:color w:val="57606A"/>
          <w:sz w:val="18"/>
        </w:rPr>
        <w:t xml:space="preserve">#01 Transformers / LLMs / coding agents  </w:t>
      </w:r>
    </w:p>
    <w:p>
      <w:pPr>
        <w:spacing w:after="80"/>
        <w:ind w:left="360"/>
      </w:pPr>
      <w:r>
        <w:rPr>
          <w:b/>
        </w:rPr>
        <w:t>Agentic AI reaches autonomous end-to-end clinical care (MIRA, AMIE in Nature)</w:t>
      </w:r>
      <w:r>
        <w:t xml:space="preserve"> — </w:t>
      </w:r>
      <w:r>
        <w:t>Eric Topol (June 17 2026) unpacks two new Nature papers: MIRA (Ferber/Kather et al.) ran autonomous end-to-end ED workups across real cases at 87.8% diagnostic accuracy vs 78.1% for board-certified physicians; Google's AMIE managed longitudinal outpatient care non-inferior to 21 PCPs (simulated settings).</w:t>
      </w:r>
      <w:r>
        <w:rPr>
          <w:color w:val="0969DA"/>
          <w:sz w:val="16"/>
        </w:rPr>
        <w:t xml:space="preserve">  (https://erictopol.substack.com/p/agentic-ai-comes-to-medicine)</w:t>
      </w:r>
      <w:r>
        <w:rPr>
          <w:color w:val="0969DA"/>
          <w:sz w:val="16"/>
        </w:rPr>
        <w:t xml:space="preserve">  (https://www.nature.com/articles/s41586-026-10675-5)</w:t>
      </w:r>
      <w:r>
        <w:rPr>
          <w:color w:val="0969DA"/>
          <w:sz w:val="16"/>
        </w:rPr>
        <w:t xml:space="preserve">  (https://www.nature.com/articles/s41586-026-10764-5)</w:t>
      </w:r>
    </w:p>
    <w:p>
      <w:pPr>
        <w:spacing w:after="40"/>
      </w:pPr>
      <w:r>
        <w:rPr>
          <w:b/>
          <w:color w:val="0969DA"/>
          <w:sz w:val="18"/>
        </w:rPr>
        <w:t xml:space="preserve">[New frontier result]  </w:t>
      </w:r>
      <w:r>
        <w:rPr>
          <w:i/>
          <w:color w:val="57606A"/>
          <w:sz w:val="18"/>
        </w:rPr>
        <w:t xml:space="preserve">#12 Humanoid robotics  </w:t>
      </w:r>
    </w:p>
    <w:p>
      <w:pPr>
        <w:spacing w:after="80"/>
        <w:ind w:left="360"/>
      </w:pPr>
      <w:r>
        <w:rPr>
          <w:b/>
        </w:rPr>
        <w:t>DreamZero: video-diffusion 'World Action Models' beat VLAs 2x on zero-shot robot tasks</w:t>
      </w:r>
      <w:r>
        <w:t xml:space="preserve"> — </w:t>
      </w:r>
      <w:r>
        <w:t>NVIDIA GEAR's DreamZero (arXiv 2602.15922, 'World Action Models are Zero-shot Policies') is a 14B world-action model on a video-diffusion backbone delivering &gt;2x zero-shot generalization over SOTA VLAs in real-robot tests, with real-time 7Hz closed-loop control and 30-min few-shot embodiment transfer. Surging on HF Papers/alphaXiv as falsifiable evidence behind the world-models-for-robotics thesis (Feb 2026; backfill).</w:t>
      </w:r>
      <w:r>
        <w:rPr>
          <w:color w:val="0969DA"/>
          <w:sz w:val="16"/>
        </w:rPr>
        <w:t xml:space="preserve">  (https://arxiv.org/abs/2602.15922)</w:t>
      </w:r>
      <w:r>
        <w:rPr>
          <w:color w:val="0969DA"/>
          <w:sz w:val="16"/>
        </w:rPr>
        <w:t xml:space="preserve">  (https://huggingface.co/papers/2602.15922)</w:t>
      </w:r>
      <w:r>
        <w:rPr>
          <w:color w:val="0969DA"/>
          <w:sz w:val="16"/>
        </w:rPr>
        <w:t xml:space="preserve">  (https://dreamzero0.github.io/)</w:t>
      </w:r>
    </w:p>
    <w:p>
      <w:pPr>
        <w:spacing w:after="40"/>
      </w:pPr>
      <w:r>
        <w:rPr>
          <w:b/>
          <w:color w:val="57606A"/>
          <w:sz w:val="18"/>
        </w:rPr>
        <w:t xml:space="preserve">[NEW_VOICE]  </w:t>
      </w:r>
    </w:p>
    <w:p>
      <w:pPr>
        <w:spacing w:after="80"/>
        <w:ind w:left="360"/>
      </w:pPr>
      <w:r>
        <w:rPr>
          <w:b/>
        </w:rPr>
        <w:t>Sherry Yang — generative world models as the substrate for embodied agents</w:t>
      </w:r>
      <w:r>
        <w:t xml:space="preserve"> — </w:t>
      </w:r>
      <w:r>
        <w:t>NYU Courant assistant professor and Google DeepMind staff research scientist anchoring the world-models-for-robotics thesis with primary work: WorldGym (world model as policy-eval environment), World-Gymnast (RL inside a world model improves real-robot VLA policies, Feb 2026), and a position paper 'World Models as an Intermediary between Agents and the Real World.'</w:t>
      </w:r>
      <w:r>
        <w:rPr>
          <w:color w:val="0969DA"/>
          <w:sz w:val="16"/>
        </w:rPr>
        <w:t xml:space="preserve">  (https://sherryy.github.io/)</w:t>
      </w:r>
      <w:r>
        <w:rPr>
          <w:color w:val="0969DA"/>
          <w:sz w:val="16"/>
        </w:rPr>
        <w:t xml:space="preserve">  (https://arxiv.org/abs/2506.00613)</w:t>
      </w:r>
    </w:p>
    <w:p>
      <w:pPr>
        <w:spacing w:after="40"/>
      </w:pPr>
      <w:r>
        <w:rPr>
          <w:b/>
          <w:color w:val="0E6E6F"/>
          <w:sz w:val="18"/>
        </w:rPr>
        <w:t xml:space="preserve">[New watch pick]  </w:t>
      </w:r>
      <w:r>
        <w:rPr>
          <w:i/>
          <w:color w:val="57606A"/>
          <w:sz w:val="18"/>
        </w:rPr>
        <w:t xml:space="preserve">#01 Transformers / LLMs / coding agents  </w:t>
      </w:r>
    </w:p>
    <w:p>
      <w:pPr>
        <w:spacing w:after="80"/>
        <w:ind w:left="360"/>
      </w:pPr>
      <w:r>
        <w:rPr>
          <w:b/>
        </w:rPr>
        <w:t>Z.ai (Zhipu AI) — open-weight frontier lab behind GLM-5.2</w:t>
      </w:r>
      <w:r>
        <w:t xml:space="preserve"> — </w:t>
      </w:r>
      <w:r>
        <w:t>Entity capture: Z.ai (formerly Zhipu AI), one of China's leading frontier labs, is the maker of the GLM series; GLM-5.2 (mid-June 2026) is the first open-weight model past 80% on Terminal-Bench 2.1. Not previously tracked as a player despite the board following open-weight frontier models.</w:t>
      </w:r>
      <w:r>
        <w:rPr>
          <w:color w:val="0969DA"/>
          <w:sz w:val="16"/>
        </w:rPr>
        <w:t xml:space="preserve">  (https://huggingface.co/blog/zai-org/glm-52-blog)</w:t>
      </w:r>
    </w:p>
    <w:p>
      <w:pPr>
        <w:spacing w:after="40"/>
      </w:pPr>
      <w:r>
        <w:rPr>
          <w:b/>
          <w:color w:val="0E6E6F"/>
          <w:sz w:val="18"/>
        </w:rPr>
        <w:t xml:space="preserve">[New watch pick]  </w:t>
      </w:r>
      <w:r>
        <w:rPr>
          <w:i/>
          <w:color w:val="57606A"/>
          <w:sz w:val="18"/>
        </w:rPr>
        <w:t xml:space="preserve">#10 Renewables + battery cost collapse  </w:t>
      </w:r>
    </w:p>
    <w:p>
      <w:pPr>
        <w:spacing w:after="80"/>
        <w:ind w:left="360"/>
      </w:pPr>
      <w:r>
        <w:rPr>
          <w:b/>
        </w:rPr>
        <w:t>QuantumScape — solid-state lithium-metal battery leader (now 2 OEMs)</w:t>
      </w:r>
      <w:r>
        <w:t xml:space="preserve"> — </w:t>
      </w:r>
      <w:r>
        <w:t>Entity capture: QuantumScape (NYSE: QS), the most prominent solid-state lithium-metal battery developer, added Honda as its second OEM on 2026-06-18 alongside Volkswagen/PowerCo. Not previously tracked despite opening the board's solid-state sub-theme.</w:t>
      </w:r>
      <w:r>
        <w:rPr>
          <w:color w:val="0969DA"/>
          <w:sz w:val="16"/>
        </w:rPr>
        <w:t xml:space="preserve">  (https://ir.quantumscape.com/news-releases/news-release-details/quantumscape-announces-agreement-honda-solid-state-battery)</w:t>
      </w:r>
    </w:p>
    <w:p>
      <w:pPr>
        <w:spacing w:after="40"/>
      </w:pPr>
      <w:r>
        <w:rPr>
          <w:b/>
          <w:color w:val="0E6E6F"/>
          <w:sz w:val="18"/>
        </w:rPr>
        <w:t xml:space="preserve">[New watch pick]  </w:t>
      </w:r>
      <w:r>
        <w:rPr>
          <w:i/>
          <w:color w:val="57606A"/>
          <w:sz w:val="18"/>
        </w:rPr>
        <w:t xml:space="preserve">#07 CRISPR therapies (Casgevy + base/prime editing)  </w:t>
      </w:r>
    </w:p>
    <w:p>
      <w:pPr>
        <w:spacing w:after="80"/>
        <w:ind w:left="360"/>
      </w:pPr>
      <w:r>
        <w:rPr>
          <w:b/>
        </w:rPr>
        <w:t>Autolus Therapeutics — CD19 CAR-T player moving into autoimmune disease</w:t>
      </w:r>
      <w:r>
        <w:t xml:space="preserve"> — </w:t>
      </w:r>
      <w:r>
        <w:t>Entity capture: Autolus Therapeutics (Nasdaq: AUTL), maker of the approved fast-off-rate CD19 CAR-T obe-cel (Aucatzyl, leukemia), is now generating early refractory-lupus data (CARLYSLE, EULAR 2026). Not previously tracked despite opening the board's CAR-T-for-autoimmune sub-theme.</w:t>
      </w:r>
      <w:r>
        <w:rPr>
          <w:color w:val="0969DA"/>
          <w:sz w:val="16"/>
        </w:rPr>
        <w:t xml:space="preserve">  (https://www.uclb.com/2026/06/12/early-promise-reported-in-severe-lupus-for-autolus-therapeutics-car-t-therapy/)</w:t>
      </w:r>
    </w:p>
    <w:p>
      <w:r>
        <w:br w:type="page"/>
      </w:r>
    </w:p>
    <w:p>
      <w:pPr>
        <w:pStyle w:val="Heading1"/>
      </w:pPr>
      <w:r>
        <w:t>Weekly history</w:t>
      </w:r>
    </w:p>
    <w:p>
      <w:r>
        <w:rPr>
          <w:i/>
        </w:rPr>
        <w:t>All 17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2026-06-19.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