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AA" w:rsidRDefault="00877EAA" w:rsidP="00B95024">
      <w:pPr>
        <w:pStyle w:val="Ttulo2"/>
      </w:pPr>
      <w:r>
        <w:t>Modelos Autoregresivos</w:t>
      </w:r>
    </w:p>
    <w:p w:rsidR="00877EAA" w:rsidRDefault="00877EAA"/>
    <w:p w:rsidR="00877EAA" w:rsidRDefault="00877EAA">
      <w:r>
        <w:t xml:space="preserve">En un modelo autorregresivo se pronostica la variable de interés usando una combinación lineal de los valores pasados. Un modelo  </w:t>
      </w:r>
      <w:r w:rsidR="00B95024">
        <w:t>autoregresivo</w:t>
      </w:r>
      <w:r>
        <w:t xml:space="preserve"> se define si la serie de tiempo en un periodo  determinado es explicada por las observaciones anteriores e incorporando un </w:t>
      </w:r>
      <w:r w:rsidR="00B95024">
        <w:t>término</w:t>
      </w:r>
      <w:r>
        <w:t xml:space="preserve"> de error. </w:t>
      </w:r>
    </w:p>
    <w:p w:rsidR="00877EAA" w:rsidRDefault="00877EAA">
      <w:r>
        <w:t xml:space="preserve">La ecuación de un modelo autorregresivo de orden P se denota de la siguiente manera; </w:t>
      </w:r>
    </w:p>
    <w:p w:rsidR="00877EAA" w:rsidRPr="00877EAA" w:rsidRDefault="00877E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77EAA" w:rsidRDefault="00877EAA">
      <w:pPr>
        <w:rPr>
          <w:rFonts w:eastAsiaTheme="minorEastAsia"/>
        </w:rPr>
      </w:pPr>
      <w:r>
        <w:rPr>
          <w:rFonts w:eastAsiaTheme="minorEastAsia"/>
        </w:rPr>
        <w:t xml:space="preserve">Donde C es una constante,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es el error (Ruido blanco)- En este caso el modelo autorregresivo se denomina de orden p y se expresa como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P) </w:t>
      </w:r>
    </w:p>
    <w:p w:rsidR="00877EAA" w:rsidRDefault="00877EAA">
      <w:pPr>
        <w:rPr>
          <w:rFonts w:eastAsiaTheme="minorEastAsia"/>
        </w:rPr>
      </w:pPr>
      <w:r>
        <w:rPr>
          <w:rFonts w:eastAsiaTheme="minorEastAsia"/>
        </w:rPr>
        <w:t xml:space="preserve">En un modelo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P)el valor de la serie en el momento t es una combinación lineal de las ultimas P observaciones de la serie. </w:t>
      </w:r>
    </w:p>
    <w:p w:rsidR="00877EAA" w:rsidRDefault="00877EAA">
      <w:pPr>
        <w:rPr>
          <w:rFonts w:eastAsiaTheme="minorEastAsia"/>
        </w:rPr>
      </w:pPr>
      <w:r>
        <w:rPr>
          <w:rFonts w:eastAsiaTheme="minorEastAsia"/>
        </w:rPr>
        <w:t xml:space="preserve">En el caso </w:t>
      </w:r>
      <w:r w:rsidR="00B95024">
        <w:rPr>
          <w:rFonts w:eastAsiaTheme="minorEastAsia"/>
        </w:rPr>
        <w:t>más</w:t>
      </w:r>
      <w:r>
        <w:rPr>
          <w:rFonts w:eastAsiaTheme="minorEastAsia"/>
        </w:rPr>
        <w:t xml:space="preserve"> simple del valor de ña serie en el momento t solo depende de la observación previa. </w:t>
      </w:r>
    </w:p>
    <w:p w:rsidR="00877EAA" w:rsidRDefault="00877EAA">
      <w:pPr>
        <w:rPr>
          <w:rFonts w:eastAsiaTheme="minorEastAsia"/>
        </w:rPr>
      </w:pPr>
      <w:r>
        <w:rPr>
          <w:rFonts w:eastAsiaTheme="minorEastAsia"/>
        </w:rPr>
        <w:t xml:space="preserve">El modelo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1) se expresa;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66D7B">
        <w:rPr>
          <w:rFonts w:eastAsiaTheme="minorEastAsia"/>
        </w:rPr>
        <w:t xml:space="preserve"> </w:t>
      </w:r>
    </w:p>
    <w:p w:rsidR="00066D7B" w:rsidRDefault="00066D7B">
      <w:pPr>
        <w:rPr>
          <w:rFonts w:eastAsiaTheme="minorEastAsia"/>
        </w:rPr>
      </w:pPr>
    </w:p>
    <w:p w:rsidR="00066D7B" w:rsidRDefault="00066D7B" w:rsidP="00B95024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Modelos de promedios </w:t>
      </w:r>
      <w:proofErr w:type="gramStart"/>
      <w:r>
        <w:rPr>
          <w:rFonts w:eastAsiaTheme="minorEastAsia"/>
        </w:rPr>
        <w:t>móviles(</w:t>
      </w:r>
      <w:proofErr w:type="gramEnd"/>
      <w:r>
        <w:rPr>
          <w:rFonts w:eastAsiaTheme="minorEastAsia"/>
        </w:rPr>
        <w:t>MA)</w:t>
      </w:r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>Una característica importante de estos modelos es que utiliza los errores de predicciones pasados.</w:t>
      </w:r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 xml:space="preserve">La ecuación para estos modelos se plantea de la siguiente manera; </w:t>
      </w:r>
    </w:p>
    <w:p w:rsidR="00066D7B" w:rsidRPr="00877EAA" w:rsidRDefault="00066D7B" w:rsidP="00066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t∙q</m:t>
              </m:r>
            </m:sub>
          </m:sSub>
        </m:oMath>
      </m:oMathPara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es el error y es ruido blanco, C es una constante. Este modelo se expresa como </w:t>
      </w: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q) </w:t>
      </w:r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 xml:space="preserve">En los modelos MA se puede observar que cada valor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puede ser visto como un ponderador de los de promedios móviles de predicciones de errores pasados. </w:t>
      </w:r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 xml:space="preserve">Es importante que estos modelos no se confundan con los suavizados de promedios móviles que su principal función de los suavizados es ajustar la ST con la finalidad de detectar tendencia y componente estacional. </w:t>
      </w:r>
    </w:p>
    <w:p w:rsidR="00066D7B" w:rsidRDefault="00066D7B">
      <w:pPr>
        <w:rPr>
          <w:rFonts w:eastAsiaTheme="minorEastAsia"/>
        </w:rPr>
      </w:pPr>
      <w:r>
        <w:rPr>
          <w:rFonts w:eastAsiaTheme="minorEastAsia"/>
        </w:rPr>
        <w:t xml:space="preserve">En un modelo de ponderados móviles su principal función es realizar pronósticos. </w:t>
      </w:r>
    </w:p>
    <w:p w:rsidR="00B95024" w:rsidRDefault="00066D7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95024" w:rsidRDefault="00B95024">
      <w:pPr>
        <w:rPr>
          <w:rFonts w:eastAsiaTheme="minorEastAsia"/>
        </w:rPr>
      </w:pPr>
    </w:p>
    <w:p w:rsidR="00B95024" w:rsidRDefault="00B95024">
      <w:pPr>
        <w:rPr>
          <w:rFonts w:eastAsiaTheme="minorEastAsia"/>
        </w:rPr>
      </w:pPr>
    </w:p>
    <w:p w:rsidR="00B95024" w:rsidRDefault="00B95024" w:rsidP="00B95024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Modelos ARIMA NO ESTACIONALES </w:t>
      </w:r>
    </w:p>
    <w:p w:rsidR="00B95024" w:rsidRDefault="00B95024">
      <w:pPr>
        <w:rPr>
          <w:rFonts w:eastAsiaTheme="minorEastAsia"/>
        </w:rPr>
      </w:pP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Los modelos ARIMA se derivan de la combinación de un modelo autorregresivo, un modelo de promedios móviles y de la diferenciación.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Los modelos ARIMA se expresan de la siguiente manera </w:t>
      </w:r>
    </w:p>
    <w:p w:rsidR="00B95024" w:rsidRPr="00877EAA" w:rsidRDefault="00B95024" w:rsidP="00B9502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943634" w:themeColor="accent2" w:themeShade="BF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∅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t-1</m:t>
              </m:r>
            </m:sub>
          </m:sSub>
          <m:r>
            <w:rPr>
              <w:rFonts w:ascii="Cambria Math" w:hAnsi="Cambria Math"/>
              <w:color w:val="943634" w:themeColor="accent2" w:themeShade="B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∅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t-2</m:t>
              </m:r>
            </m:sub>
          </m:sSub>
          <m:r>
            <w:rPr>
              <w:rFonts w:ascii="Cambria Math" w:hAnsi="Cambria Math"/>
              <w:color w:val="943634" w:themeColor="accent2" w:themeShade="BF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∅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sSubPr>
            <m:e>
              <m:r>
                <w:rPr>
                  <w:rFonts w:ascii="Cambria Math" w:hAnsi="Cambria Math"/>
                  <w:color w:val="943634" w:themeColor="accent2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943634" w:themeColor="accent2" w:themeShade="BF"/>
                </w:rPr>
                <m:t>t-p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∅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b>
              <m:r>
                <w:rPr>
                  <w:rFonts w:ascii="Cambria Math" w:hAnsi="Cambria Math"/>
                  <w:color w:val="7030A0"/>
                </w:rPr>
                <m:t>t-1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∅</m:t>
              </m:r>
            </m:e>
            <m:sub>
              <m:r>
                <w:rPr>
                  <w:rFonts w:ascii="Cambria Math" w:hAnsi="Cambria Math"/>
                  <w:color w:val="7030A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b>
              <m:r>
                <w:rPr>
                  <w:rFonts w:ascii="Cambria Math" w:hAnsi="Cambria Math"/>
                  <w:color w:val="7030A0"/>
                </w:rPr>
                <m:t>t-2</m:t>
              </m:r>
            </m:sub>
          </m:sSub>
          <m:r>
            <w:rPr>
              <w:rFonts w:ascii="Cambria Math" w:hAnsi="Cambria Math"/>
              <w:color w:val="7030A0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∅</m:t>
              </m:r>
            </m:e>
            <m:sub>
              <m:r>
                <w:rPr>
                  <w:rFonts w:ascii="Cambria Math" w:hAnsi="Cambria Math"/>
                  <w:color w:val="7030A0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b>
              <m:r>
                <w:rPr>
                  <w:rFonts w:ascii="Cambria Math" w:hAnsi="Cambria Math"/>
                  <w:color w:val="7030A0"/>
                </w:rPr>
                <m:t>t∙q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b>
              <m:r>
                <w:rPr>
                  <w:rFonts w:ascii="Cambria Math" w:hAnsi="Cambria Math"/>
                  <w:color w:val="7030A0"/>
                </w:rPr>
                <m:t>t</m:t>
              </m:r>
            </m:sub>
          </m:sSub>
        </m:oMath>
      </m:oMathPara>
    </w:p>
    <w:p w:rsidR="00877EAA" w:rsidRDefault="00B95024">
      <w:pPr>
        <w:rPr>
          <w:rFonts w:eastAsiaTheme="minorEastAsia"/>
        </w:rPr>
      </w:pPr>
      <w:r w:rsidRPr="00B95024">
        <w:rPr>
          <w:rFonts w:eastAsiaTheme="minorEastAsia"/>
          <w:color w:val="943634" w:themeColor="accent2" w:themeShade="BF"/>
        </w:rPr>
        <w:t xml:space="preserve">Componente autorregresivo </w:t>
      </w:r>
      <w:r>
        <w:rPr>
          <w:rFonts w:eastAsiaTheme="minorEastAsia"/>
        </w:rPr>
        <w:t xml:space="preserve">y </w:t>
      </w:r>
      <w:r w:rsidRPr="00B95024">
        <w:rPr>
          <w:rFonts w:eastAsiaTheme="minorEastAsia"/>
          <w:color w:val="7030A0"/>
        </w:rPr>
        <w:t>componente de promedios móviles</w:t>
      </w:r>
      <w:r>
        <w:rPr>
          <w:rFonts w:eastAsiaTheme="minorEastAsia"/>
        </w:rPr>
        <w:t xml:space="preserve">.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es la serie diferenciada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Los predictores que se encuentran del lado derecho de la ecuación incluyen los valores anteriores de la serie y los errores.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Un modelo ARIMA se plantea de la siguiente manera; </w:t>
      </w:r>
      <w:proofErr w:type="gramStart"/>
      <w:r>
        <w:rPr>
          <w:rFonts w:eastAsiaTheme="minorEastAsia"/>
        </w:rPr>
        <w:t>ARIMA(</w:t>
      </w:r>
      <w:proofErr w:type="gramEnd"/>
      <w:r>
        <w:rPr>
          <w:rFonts w:eastAsiaTheme="minorEastAsia"/>
        </w:rPr>
        <w:t xml:space="preserve">p,d,q) donde: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P=orden del componente autorregresivo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d= grado de diferenciación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q= Orden de componente de promedios móviles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>Una de las dificultades que conllevan los modelos ARIMA es seleccionar los  valores p</w:t>
      </w:r>
      <w:proofErr w:type="gramStart"/>
      <w:r>
        <w:rPr>
          <w:rFonts w:eastAsiaTheme="minorEastAsia"/>
        </w:rPr>
        <w:t>,d,q</w:t>
      </w:r>
      <w:proofErr w:type="gramEnd"/>
      <w:r>
        <w:rPr>
          <w:rFonts w:eastAsiaTheme="minorEastAsia"/>
        </w:rPr>
        <w:t xml:space="preserve">.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 xml:space="preserve">En R existe una función que permite promover valores a los modelos ARIMA. </w:t>
      </w:r>
    </w:p>
    <w:p w:rsidR="00B95024" w:rsidRDefault="00B95024">
      <w:pPr>
        <w:rPr>
          <w:rFonts w:eastAsiaTheme="minorEastAsia"/>
        </w:rPr>
      </w:pPr>
      <w:r>
        <w:rPr>
          <w:rFonts w:eastAsiaTheme="minorEastAsia"/>
        </w:rPr>
        <w:t>La función en R es autoarima (</w:t>
      </w:r>
      <w:proofErr w:type="gramStart"/>
      <w:r>
        <w:rPr>
          <w:rFonts w:eastAsiaTheme="minorEastAsia"/>
        </w:rPr>
        <w:t>) ,</w:t>
      </w:r>
      <w:proofErr w:type="gramEnd"/>
      <w:r>
        <w:rPr>
          <w:rFonts w:eastAsiaTheme="minorEastAsia"/>
        </w:rPr>
        <w:t xml:space="preserve"> esta función calcula </w:t>
      </w:r>
      <w:r w:rsidR="00F64F80">
        <w:rPr>
          <w:rFonts w:eastAsiaTheme="minorEastAsia"/>
        </w:rPr>
        <w:t xml:space="preserve">los valores con el método de logaritmo de verosimilitud que calcula el logaritmo de la probabilidad de los datos observados y encuentra parámetros estimados. </w:t>
      </w:r>
    </w:p>
    <w:p w:rsidR="00F64F80" w:rsidRDefault="00F64F80">
      <w:pPr>
        <w:rPr>
          <w:rFonts w:eastAsiaTheme="minorEastAsia"/>
        </w:rPr>
      </w:pPr>
      <w:r>
        <w:rPr>
          <w:rFonts w:eastAsiaTheme="minorEastAsia"/>
        </w:rPr>
        <w:t xml:space="preserve">Alguno de los modelos que hemos visto se </w:t>
      </w:r>
      <w:proofErr w:type="gramStart"/>
      <w:r>
        <w:rPr>
          <w:rFonts w:eastAsiaTheme="minorEastAsia"/>
        </w:rPr>
        <w:t>pueden</w:t>
      </w:r>
      <w:proofErr w:type="gramEnd"/>
      <w:r>
        <w:rPr>
          <w:rFonts w:eastAsiaTheme="minorEastAsia"/>
        </w:rPr>
        <w:t xml:space="preserve"> expresar como modelos ARIMA.</w:t>
      </w:r>
    </w:p>
    <w:p w:rsidR="00F64F80" w:rsidRDefault="00F64F80">
      <w:pPr>
        <w:rPr>
          <w:rFonts w:eastAsiaTheme="minorEastAsia"/>
        </w:rPr>
      </w:pPr>
      <w:r>
        <w:rPr>
          <w:rFonts w:eastAsiaTheme="minorEastAsia"/>
        </w:rPr>
        <w:t xml:space="preserve"> Un modelo de Ruido blanco se puede expresar como un </w:t>
      </w:r>
      <w:proofErr w:type="gramStart"/>
      <w:r>
        <w:rPr>
          <w:rFonts w:eastAsiaTheme="minorEastAsia"/>
        </w:rPr>
        <w:t>ARIMA(</w:t>
      </w:r>
      <w:proofErr w:type="gramEnd"/>
      <w:r>
        <w:rPr>
          <w:rFonts w:eastAsiaTheme="minorEastAsia"/>
        </w:rPr>
        <w:t xml:space="preserve">0,0,0). </w:t>
      </w:r>
    </w:p>
    <w:p w:rsidR="00F64F80" w:rsidRDefault="00F64F80">
      <w:pPr>
        <w:rPr>
          <w:rFonts w:eastAsiaTheme="minorEastAsia"/>
        </w:rPr>
      </w:pPr>
      <w:r>
        <w:rPr>
          <w:rFonts w:eastAsiaTheme="minorEastAsia"/>
        </w:rPr>
        <w:t>Un modelo autoregresivo de orden p se puede expresar ARIMA</w:t>
      </w:r>
      <w:bookmarkStart w:id="0" w:name="_GoBack"/>
      <w:bookmarkEnd w:id="0"/>
      <w:r>
        <w:rPr>
          <w:rFonts w:eastAsiaTheme="minorEastAsia"/>
        </w:rPr>
        <w:t xml:space="preserve"> (p</w:t>
      </w:r>
      <w:proofErr w:type="gramStart"/>
      <w:r>
        <w:rPr>
          <w:rFonts w:eastAsiaTheme="minorEastAsia"/>
        </w:rPr>
        <w:t>,0,0</w:t>
      </w:r>
      <w:proofErr w:type="gramEnd"/>
      <w:r>
        <w:rPr>
          <w:rFonts w:eastAsiaTheme="minorEastAsia"/>
        </w:rPr>
        <w:t xml:space="preserve">) </w:t>
      </w:r>
    </w:p>
    <w:p w:rsidR="00F64F80" w:rsidRDefault="00F64F80">
      <w:pPr>
        <w:rPr>
          <w:rFonts w:eastAsiaTheme="minorEastAsia"/>
        </w:rPr>
      </w:pPr>
      <w:r>
        <w:rPr>
          <w:rFonts w:eastAsiaTheme="minorEastAsia"/>
        </w:rPr>
        <w:t xml:space="preserve">Un modelo de promedio móvil de orden q </w:t>
      </w:r>
      <w:proofErr w:type="gramStart"/>
      <w:r>
        <w:rPr>
          <w:rFonts w:eastAsiaTheme="minorEastAsia"/>
        </w:rPr>
        <w:t>ARIMA(</w:t>
      </w:r>
      <w:proofErr w:type="gramEnd"/>
      <w:r>
        <w:rPr>
          <w:rFonts w:eastAsiaTheme="minorEastAsia"/>
        </w:rPr>
        <w:t>0,0,q)</w:t>
      </w:r>
    </w:p>
    <w:p w:rsidR="00B95024" w:rsidRPr="00877EAA" w:rsidRDefault="00B95024">
      <w:pPr>
        <w:rPr>
          <w:rFonts w:eastAsiaTheme="minorEastAsia"/>
        </w:rPr>
      </w:pPr>
    </w:p>
    <w:sectPr w:rsidR="00B95024" w:rsidRPr="00877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AA"/>
    <w:rsid w:val="00066D7B"/>
    <w:rsid w:val="00877EAA"/>
    <w:rsid w:val="00930322"/>
    <w:rsid w:val="00B95024"/>
    <w:rsid w:val="00F6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7E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EA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95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7E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EA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95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1</cp:revision>
  <dcterms:created xsi:type="dcterms:W3CDTF">2017-05-17T21:08:00Z</dcterms:created>
  <dcterms:modified xsi:type="dcterms:W3CDTF">2017-05-17T21:45:00Z</dcterms:modified>
</cp:coreProperties>
</file>