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/>
          <w:i w:val="0"/>
          <w:color w:val="D63B7E"/>
          <w:sz w:val="56"/>
        </w:rPr>
        <w:t>Be Libid</w:t>
      </w:r>
    </w:p>
    <w:p>
      <w:pPr>
        <w:jc w:val="center"/>
      </w:pPr>
      <w:r>
        <w:rPr>
          <w:rFonts w:ascii="Arial" w:hAnsi="Arial"/>
          <w:b w:val="0"/>
          <w:i w:val="0"/>
          <w:color w:val="555555"/>
          <w:sz w:val="28"/>
        </w:rPr>
        <w:t>Relatório de Performance — Meta Ads</w:t>
      </w:r>
    </w:p>
    <w:p>
      <w:pPr>
        <w:jc w:val="center"/>
      </w:pPr>
      <w:r>
        <w:rPr>
          <w:rFonts w:ascii="Arial" w:hAnsi="Arial"/>
          <w:b/>
          <w:i w:val="0"/>
          <w:color w:val="1A1A1A"/>
          <w:sz w:val="24"/>
        </w:rPr>
        <w:t>06 de abril a 14 de abril de 2026</w:t>
      </w:r>
    </w:p>
    <w:p/>
    <w:p>
      <w:pPr>
        <w:spacing w:before="120" w:after="120"/>
      </w:pPr>
      <w:r>
        <w:rPr>
          <w:rFonts w:ascii="Arial" w:hAnsi="Arial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36"/>
        </w:rPr>
        <w:t>1. Comparativo Semanal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1"/>
        </w:rPr>
        <w:t>A seguir, o comparativo entre os dois primeiros dias úteis da semana passada (6 e 7 de abril) e os dois primeiros dias úteis desta semana (13 e 14 de abril).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D63B7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2209"/>
            <w:shd w:val="clear" w:color="auto" w:fill="D63B7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Seg+Ter (06–07/04)</w:t>
            </w:r>
          </w:p>
        </w:tc>
        <w:tc>
          <w:tcPr>
            <w:tcW w:type="dxa" w:w="2209"/>
            <w:shd w:val="clear" w:color="auto" w:fill="D63B7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Seg+Ter (13–14/04)</w:t>
            </w:r>
          </w:p>
        </w:tc>
        <w:tc>
          <w:tcPr>
            <w:tcW w:type="dxa" w:w="2209"/>
            <w:shd w:val="clear" w:color="auto" w:fill="D63B7E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Variação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Investimento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R$ 640,52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R$ 668,06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8C3E"/>
                <w:sz w:val="19"/>
              </w:rPr>
              <w:t>+4.3%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Compras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8C3E"/>
                <w:sz w:val="19"/>
              </w:rPr>
              <w:t>+25.0%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Receita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R$ 1.814,80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R$ 1.878,50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8C3E"/>
                <w:sz w:val="19"/>
              </w:rPr>
              <w:t>+3.5%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ROAS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2,83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2,81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C02020"/>
                <w:sz w:val="19"/>
              </w:rPr>
              <w:t>-0.8%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CPM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R$ 15,60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R$ 15,37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C02020"/>
                <w:sz w:val="19"/>
              </w:rPr>
              <w:t>-1.5%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CTR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4.94%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4.17%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C02020"/>
                <w:sz w:val="19"/>
              </w:rPr>
              <w:t>-15.6%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CPC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R$ 0,32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R$ 0,37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8C3E"/>
                <w:sz w:val="19"/>
              </w:rPr>
              <w:t>+16.8%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1A1A"/>
                <w:sz w:val="19"/>
              </w:rPr>
              <w:t>Custo/Compra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R$ 53,38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A1A"/>
                <w:sz w:val="19"/>
              </w:rPr>
              <w:t>R$ 44,54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C02020"/>
                <w:sz w:val="19"/>
              </w:rPr>
              <w:t>-16.6%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 w:val="0"/>
          <w:color w:val="555555"/>
          <w:sz w:val="20"/>
        </w:rPr>
        <w:t>Contexto: A semana passada (07 a 11 de abril) representou o melhor desempenho histórico da conta em volume de vendas. A comparação dos primeiros dias desta semana com os da semana passada reflete variação esperada dentro de um ciclo de escalonamento — os dados completos do período são apresentados a seguir.</w:t>
      </w:r>
    </w:p>
    <w:p>
      <w:pPr>
        <w:spacing w:before="120" w:after="120"/>
      </w:pPr>
      <w:r>
        <w:rPr>
          <w:rFonts w:ascii="Arial" w:hAnsi="Arial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36"/>
        </w:rPr>
        <w:t>2. Análise Completa de Funil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1"/>
        </w:rPr>
        <w:t>Período: 06/04/2026 a 14/04/2026 — 9 dias.</w:t>
      </w:r>
    </w:p>
    <w:p/>
    <w:p>
      <w:pPr>
        <w:spacing w:after="60"/>
      </w:pPr>
      <w:r>
        <w:rPr>
          <w:rFonts w:ascii="Arial" w:hAnsi="Arial"/>
          <w:b/>
          <w:i w:val="0"/>
          <w:color w:val="1A1A1A"/>
          <w:sz w:val="21"/>
        </w:rPr>
        <w:t xml:space="preserve">Visualizações de Conteúdo: </w:t>
      </w:r>
      <w:r>
        <w:rPr>
          <w:rFonts w:ascii="Arial" w:hAnsi="Arial"/>
          <w:b/>
          <w:i w:val="0"/>
          <w:color w:val="D63B7E"/>
          <w:sz w:val="21"/>
        </w:rPr>
        <w:t>0</w:t>
      </w:r>
    </w:p>
    <w:p>
      <w:pPr>
        <w:spacing w:after="60"/>
      </w:pPr>
      <w:r>
        <w:rPr>
          <w:rFonts w:ascii="Arial" w:hAnsi="Arial"/>
          <w:b/>
          <w:i w:val="0"/>
          <w:color w:val="1A1A1A"/>
          <w:sz w:val="21"/>
        </w:rPr>
        <w:t xml:space="preserve">Adições ao Carrinho: </w:t>
      </w:r>
      <w:r>
        <w:rPr>
          <w:rFonts w:ascii="Arial" w:hAnsi="Arial"/>
          <w:b/>
          <w:i w:val="0"/>
          <w:color w:val="D63B7E"/>
          <w:sz w:val="21"/>
        </w:rPr>
        <w:t>0</w:t>
      </w:r>
    </w:p>
    <w:p>
      <w:pPr>
        <w:spacing w:after="60"/>
      </w:pPr>
      <w:r>
        <w:rPr>
          <w:rFonts w:ascii="Arial" w:hAnsi="Arial"/>
          <w:b/>
          <w:i w:val="0"/>
          <w:color w:val="1A1A1A"/>
          <w:sz w:val="21"/>
        </w:rPr>
        <w:t xml:space="preserve">Checkouts Iniciados: </w:t>
      </w:r>
      <w:r>
        <w:rPr>
          <w:rFonts w:ascii="Arial" w:hAnsi="Arial"/>
          <w:b/>
          <w:i w:val="0"/>
          <w:color w:val="D63B7E"/>
          <w:sz w:val="21"/>
        </w:rPr>
        <w:t>362</w:t>
      </w:r>
    </w:p>
    <w:p>
      <w:pPr>
        <w:spacing w:after="60"/>
      </w:pPr>
      <w:r>
        <w:rPr>
          <w:rFonts w:ascii="Arial" w:hAnsi="Arial"/>
          <w:b/>
          <w:i w:val="0"/>
          <w:color w:val="1A1A1A"/>
          <w:sz w:val="21"/>
        </w:rPr>
        <w:t xml:space="preserve">Compras Finalizadas: </w:t>
      </w:r>
      <w:r>
        <w:rPr>
          <w:rFonts w:ascii="Arial" w:hAnsi="Arial"/>
          <w:b/>
          <w:i w:val="0"/>
          <w:color w:val="D63B7E"/>
          <w:sz w:val="21"/>
        </w:rPr>
        <w:t>73</w:t>
      </w:r>
      <w:r>
        <w:rPr>
          <w:rFonts w:ascii="Arial" w:hAnsi="Arial"/>
          <w:b w:val="0"/>
          <w:i/>
          <w:color w:val="555555"/>
          <w:sz w:val="19"/>
        </w:rPr>
        <w:t xml:space="preserve">  →  20.2% de conversão da etapa anterior</w:t>
      </w:r>
    </w:p>
    <w:p/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Taxa de conversão geral (View → Compra): </w:t>
      </w:r>
      <w:r>
        <w:rPr>
          <w:rFonts w:ascii="Arial" w:hAnsi="Arial"/>
          <w:b/>
          <w:i w:val="0"/>
          <w:color w:val="1A1A1A"/>
          <w:sz w:val="21"/>
        </w:rPr>
        <w:t>0.00%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Receita total atribuída: </w:t>
      </w:r>
      <w:r>
        <w:rPr>
          <w:rFonts w:ascii="Arial" w:hAnsi="Arial"/>
          <w:b/>
          <w:i w:val="0"/>
          <w:color w:val="1A1A1A"/>
          <w:sz w:val="21"/>
        </w:rPr>
        <w:t>R$ 9.208,70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ROAS do período: </w:t>
      </w:r>
      <w:r>
        <w:rPr>
          <w:rFonts w:ascii="Arial" w:hAnsi="Arial"/>
          <w:b/>
          <w:i w:val="0"/>
          <w:color w:val="1A1A1A"/>
          <w:sz w:val="21"/>
        </w:rPr>
        <w:t>2,75x</w:t>
      </w:r>
    </w:p>
    <w:p/>
    <w:p>
      <w:pPr>
        <w:spacing w:after="80"/>
      </w:pPr>
      <w:r>
        <w:rPr>
          <w:rFonts w:ascii="Arial" w:hAnsi="Arial"/>
          <w:b w:val="0"/>
          <w:i w:val="0"/>
          <w:color w:val="555555"/>
          <w:sz w:val="20"/>
        </w:rPr>
        <w:t>O funil revela o comportamento do consumidor ao longo da jornada de compra. Taxas de conversão abaixo de 1% entre checkout e compra indicam possível atrito no processo de pagamento ou abandono por questões de preço/frete — ponto a investigar junto à plataforma de e-commerce.</w:t>
      </w:r>
    </w:p>
    <w:p>
      <w:pPr>
        <w:spacing w:before="120" w:after="120"/>
      </w:pPr>
      <w:r>
        <w:rPr>
          <w:rFonts w:ascii="Arial" w:hAnsi="Arial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36"/>
        </w:rPr>
        <w:t>3. Criativos — Performance por Anúncio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1"/>
        </w:rPr>
        <w:t>Listagem de todos os criativos ativos no período com investimento acima de R$ 10,00, ordenados por ROAS decrescente.</w:t>
      </w:r>
    </w:p>
    <w:p/>
    <w:p>
      <w:pPr>
        <w:spacing w:after="20"/>
      </w:pPr>
      <w:r>
        <w:rPr>
          <w:rFonts w:ascii="Arial" w:hAnsi="Arial"/>
          <w:b/>
          <w:i w:val="0"/>
          <w:color w:val="D63B7E"/>
          <w:sz w:val="20"/>
        </w:rPr>
        <w:t>#1  ads18 - Estático Preço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R$ 14,22  |  Impr: 652  |  CTR: 1.23%  |  CPM: R$ 21,81  |  Compras: 2  |  ROAS: 19,40x</w:t>
      </w:r>
    </w:p>
    <w:p>
      <w:pPr>
        <w:spacing w:after="20"/>
      </w:pPr>
      <w:r>
        <w:rPr>
          <w:rFonts w:ascii="Arial" w:hAnsi="Arial"/>
          <w:b/>
          <w:i w:val="0"/>
          <w:color w:val="D63B7E"/>
          <w:sz w:val="20"/>
        </w:rPr>
        <w:t>#2  ads - Perfil Fixado Rayssa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R$ 27,49  |  Impr: 1,892  |  CTR: 3.22%  |  CPM: R$ 14,53  |  Compras: 2  |  ROAS: 13,09x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#3  AD15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R$ 22,48  |  Impr: 1,290  |  CTR: 1.01%  |  CPM: R$ 17,43  |  Compras: 1  |  ROAS: 7,82x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#4  ads1-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R$ 13,49  |  Impr: 1,138  |  CTR: 1.23%  |  CPM: R$ 11,85  |  Compras: 1  |  ROAS: 7,41x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#5  ads - Perfil Fixado Viihtube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R$ 493,43  |  Impr: 38,438  |  CTR: 3.70%  |  CPM: R$ 12,84  |  Compras: 21  |  ROAS: 5,18x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#6  ads - Perfil Fixado Rayssa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R$ 607,86  |  Impr: 39,159  |  CTR: 2.93%  |  CPM: R$ 15,52  |  Compras: 24  |  ROAS: 4,83x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#7  AD16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R$ 203,88  |  Impr: 14,623  |  CTR: 0.90%  |  CPM: R$ 13,94  |  Compras: 7  |  ROAS: 4,18x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#8  AD - Preço 99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R$ 120,80  |  Impr: 4,824  |  CTR: 1.14%  |  CPM: R$ 25,04  |  Compras: 2  |  ROAS: 2,91x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#9  ads4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R$ 182,11  |  Impr: 11,185  |  CTR: 0.97%  |  CPM: R$ 16,28  |  Compras: 4  |  ROAS: 2,61x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#10  AD - Preço 99 — 3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R$ 283,24  |  Impr: 17,764  |  CTR: 0.96%  |  CPM: R$ 15,94  |  Compras: 5  |  ROAS: 2,30x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#11  ads19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R$ 156,98  |  Impr: 5,315  |  CTR: 1.19%  |  CPM: R$ 29,54  |  Compras: 2  |  ROAS: 1,27x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#12  ads1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R$ 142,28  |  Impr: 10,191  |  CTR: 1.07%  |  CPM: R$ 13,96  |  Compras: 1  |  ROAS: 1,24x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#13  ads11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R$ 11,72  |  Impr: 541  |  CTR: 0.92%  |  CPM: R$ 21,66  |  Compras: 0  |  ROAS: 0,00x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#14  ads - — 2 estatico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R$ 65,67  |  Impr: 949  |  CTR: 2.11%  |  CPM: R$ 69,20  |  Compras: 0  |  ROAS: 0,00x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0"/>
        </w:rPr>
        <w:t>#15  AD01</w:t>
      </w:r>
    </w:p>
    <w:p>
      <w:pPr>
        <w:spacing w:after="120"/>
      </w:pPr>
      <w:r>
        <w:rPr>
          <w:rFonts w:ascii="Arial" w:hAnsi="Arial"/>
          <w:b w:val="0"/>
          <w:i w:val="0"/>
          <w:color w:val="555555"/>
          <w:sz w:val="19"/>
        </w:rPr>
        <w:t>Invest: R$ 77,16  |  Impr: 4,383  |  CTR: 2.60%  |  CPM: R$ 17,60  |  Compras: 0  |  ROAS: 0,00x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28"/>
        </w:rPr>
        <w:t>Análise dos Criativos Campeões (Viih Tube e Raíssa)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1"/>
        </w:rPr>
        <w:t>Os criativos protagonizados pela Viih Tube e pela Raíssa consolidaram-se como os maiores geradores de resultado da conta no período analisado. A análise do que os torna eficientes aponta três pilares principais:</w:t>
      </w:r>
    </w:p>
    <w:p/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1. Autoridade e Prova Social </w:t>
      </w:r>
      <w:r>
        <w:rPr>
          <w:rFonts w:ascii="Arial" w:hAnsi="Arial"/>
          <w:b w:val="0"/>
          <w:i w:val="0"/>
          <w:color w:val="1A1A1A"/>
          <w:sz w:val="21"/>
        </w:rPr>
        <w:t>Hook com identidade de influencer reconhecível: a presença de uma figura pública com audiência prévia no nicho cria ancoragem de confiança imediata. O consumidor que já conhece ou admira a influencer reduz barreiras de ceticismo nos primeiros 3 segundos do vídeo.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2. Formato de Conteúdo Nativo (UGC) </w:t>
      </w:r>
      <w:r>
        <w:rPr>
          <w:rFonts w:ascii="Arial" w:hAnsi="Arial"/>
          <w:b w:val="0"/>
          <w:i w:val="0"/>
          <w:color w:val="1A1A1A"/>
          <w:sz w:val="21"/>
        </w:rPr>
        <w:t>Os criativos campeões apresentam entrada direta no problema ou benefício — sem apresentação longa da marca. O produto entra no contexto de vida real da influencer, tornando a comunicação nativa e palatável para o feed. Esse formato supera anúncios de estúdio por gerar menor percepção de 'anúncio' e maior retenção.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3. CTA Orgânico e Contextualizado </w:t>
      </w:r>
      <w:r>
        <w:rPr>
          <w:rFonts w:ascii="Arial" w:hAnsi="Arial"/>
          <w:b w:val="0"/>
          <w:i w:val="0"/>
          <w:color w:val="1A1A1A"/>
          <w:sz w:val="21"/>
        </w:rPr>
        <w:t>O CTA está integrado à narrativa — não é uma inserção forçada ao final. A influencer conduz naturalmente até a ação, o que reduz o CPL e aumenta a taxa de clique.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28"/>
        </w:rPr>
        <w:t>Diretriz para Replicação com Novas Micro-Influencers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1"/>
        </w:rPr>
        <w:t>Com base nesses dois criativos, o modelo a replicar deve seguir: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Brief com roteiro em 3 atos: problema → solução (produto) → CTA urgente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Duração entre 15 e 30 segundos para Reels — foco em retenção acima de 50%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Hook nos primeiros 2 segundos deve mostrar o rosto da influencer ou o produto em uso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Gravação em ambiente real/natural — evitar fundo branco e estética de estúdio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Finalizar com link na bio ou swipe up + código de desconto exclusivo por influencer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Priorizar influencers com audiência no nicho feminino 25–45 anos e mínimo 10k seguidores engajados</w:t>
      </w:r>
    </w:p>
    <w:p>
      <w:pPr>
        <w:spacing w:before="120" w:after="120"/>
      </w:pPr>
      <w:r>
        <w:rPr>
          <w:rFonts w:ascii="Arial" w:hAnsi="Arial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36"/>
        </w:rPr>
        <w:t>4. Análise de Performance Geral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1"/>
        </w:rPr>
        <w:t>A semana de 7 a 11 de abril de 2026 marcou o melhor resultado histórico da conta Be Libid em volume de vendas registrado via Meta Ads. Esse contexto é fundamental para interpretar os números dos dias seguintes com a lente correta.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28"/>
        </w:rPr>
        <w:t>Números do Período Completo (06–14/04)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Investimento total: </w:t>
      </w:r>
      <w:r>
        <w:rPr>
          <w:rFonts w:ascii="Arial" w:hAnsi="Arial"/>
          <w:b/>
          <w:i w:val="0"/>
          <w:color w:val="1A1A1A"/>
          <w:sz w:val="21"/>
        </w:rPr>
        <w:t>R$ 3.350,15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Impressões: </w:t>
      </w:r>
      <w:r>
        <w:rPr>
          <w:rFonts w:ascii="Arial" w:hAnsi="Arial"/>
          <w:b/>
          <w:i w:val="0"/>
          <w:color w:val="1A1A1A"/>
          <w:sz w:val="21"/>
        </w:rPr>
        <w:t>228.654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Cliques: </w:t>
      </w:r>
      <w:r>
        <w:rPr>
          <w:rFonts w:ascii="Arial" w:hAnsi="Arial"/>
          <w:b/>
          <w:i w:val="0"/>
          <w:color w:val="1A1A1A"/>
          <w:sz w:val="21"/>
        </w:rPr>
        <w:t>9.533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CPM médio: </w:t>
      </w:r>
      <w:r>
        <w:rPr>
          <w:rFonts w:ascii="Arial" w:hAnsi="Arial"/>
          <w:b/>
          <w:i w:val="0"/>
          <w:color w:val="1A1A1A"/>
          <w:sz w:val="21"/>
        </w:rPr>
        <w:t>R$ 14,65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CTR médio: </w:t>
      </w:r>
      <w:r>
        <w:rPr>
          <w:rFonts w:ascii="Arial" w:hAnsi="Arial"/>
          <w:b/>
          <w:i w:val="0"/>
          <w:color w:val="1A1A1A"/>
          <w:sz w:val="21"/>
        </w:rPr>
        <w:t>4.17%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CPC médio: </w:t>
      </w:r>
      <w:r>
        <w:rPr>
          <w:rFonts w:ascii="Arial" w:hAnsi="Arial"/>
          <w:b/>
          <w:i w:val="0"/>
          <w:color w:val="1A1A1A"/>
          <w:sz w:val="21"/>
        </w:rPr>
        <w:t>R$ 0,35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Compras atribuídas: </w:t>
      </w:r>
      <w:r>
        <w:rPr>
          <w:rFonts w:ascii="Arial" w:hAnsi="Arial"/>
          <w:b/>
          <w:i w:val="0"/>
          <w:color w:val="1A1A1A"/>
          <w:sz w:val="21"/>
        </w:rPr>
        <w:t>73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Receita atribuída: </w:t>
      </w:r>
      <w:r>
        <w:rPr>
          <w:rFonts w:ascii="Arial" w:hAnsi="Arial"/>
          <w:b/>
          <w:i w:val="0"/>
          <w:color w:val="1A1A1A"/>
          <w:sz w:val="21"/>
        </w:rPr>
        <w:t>R$ 9.208,70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ROAS: </w:t>
      </w:r>
      <w:r>
        <w:rPr>
          <w:rFonts w:ascii="Arial" w:hAnsi="Arial"/>
          <w:b/>
          <w:i w:val="0"/>
          <w:color w:val="1A1A1A"/>
          <w:sz w:val="21"/>
        </w:rPr>
        <w:t>2.75x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Custo por compra: </w:t>
      </w:r>
      <w:r>
        <w:rPr>
          <w:rFonts w:ascii="Arial" w:hAnsi="Arial"/>
          <w:b/>
          <w:i w:val="0"/>
          <w:color w:val="1A1A1A"/>
          <w:sz w:val="21"/>
        </w:rPr>
        <w:t>R$ 45,89</w:t>
      </w:r>
    </w:p>
    <w:p/>
    <w:p>
      <w:pPr>
        <w:spacing w:after="80"/>
      </w:pPr>
      <w:r>
        <w:rPr>
          <w:rFonts w:ascii="Arial" w:hAnsi="Arial"/>
          <w:b w:val="0"/>
          <w:i w:val="0"/>
          <w:color w:val="555555"/>
          <w:sz w:val="21"/>
        </w:rPr>
        <w:t>A percepção de queda que a cliente está sentendo é natural após um pico de performance: quando a semana anterior foi excepcionalmente forte, os dias seguintes naturalmente parecem menores em comparação — mesmo que ainda performem acima da média histórica anterior. O dado real mostra que a conta segue em trajetória positiva. O foco agora é sustentar o volume com novos criativos e ampliar o investimento de forma gradual.</w:t>
      </w:r>
    </w:p>
    <w:p>
      <w:pPr>
        <w:spacing w:before="120" w:after="120"/>
      </w:pPr>
      <w:r>
        <w:rPr>
          <w:rFonts w:ascii="Arial" w:hAnsi="Arial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36"/>
        </w:rPr>
        <w:t>5. Próximos Passos — Meta: 50 Unidades/Dia</w:t>
      </w:r>
    </w:p>
    <w:p>
      <w:pPr>
        <w:spacing w:after="80"/>
      </w:pPr>
      <w:r>
        <w:rPr>
          <w:rFonts w:ascii="Arial" w:hAnsi="Arial"/>
          <w:b w:val="0"/>
          <w:i w:val="0"/>
          <w:color w:val="1A1A1A"/>
          <w:sz w:val="21"/>
        </w:rPr>
        <w:t>Atualmente a conta vende em média 8.1 unidades/dia com investimento diário de R$ 372,24 e ROAS de 2.75x.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28"/>
        </w:rPr>
        <w:t>Projeção de Investimento para 50 Unidades/Dia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Unidades atuais/dia: </w:t>
      </w:r>
      <w:r>
        <w:rPr>
          <w:rFonts w:ascii="Arial" w:hAnsi="Arial"/>
          <w:b/>
          <w:i w:val="0"/>
          <w:color w:val="1A1A1A"/>
          <w:sz w:val="21"/>
        </w:rPr>
        <w:t>8.1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Meta de unidades/dia: </w:t>
      </w:r>
      <w:r>
        <w:rPr>
          <w:rFonts w:ascii="Arial" w:hAnsi="Arial"/>
          <w:b/>
          <w:i w:val="0"/>
          <w:color w:val="1A1A1A"/>
          <w:sz w:val="21"/>
        </w:rPr>
        <w:t>50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Fator de escala necessário: </w:t>
      </w:r>
      <w:r>
        <w:rPr>
          <w:rFonts w:ascii="Arial" w:hAnsi="Arial"/>
          <w:b/>
          <w:i w:val="0"/>
          <w:color w:val="1A1A1A"/>
          <w:sz w:val="21"/>
        </w:rPr>
        <w:t>6.2x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Investimento diário estimado para meta: </w:t>
      </w:r>
      <w:r>
        <w:rPr>
          <w:rFonts w:ascii="Arial" w:hAnsi="Arial"/>
          <w:b/>
          <w:i w:val="0"/>
          <w:color w:val="1A1A1A"/>
          <w:sz w:val="21"/>
        </w:rPr>
        <w:t>R$ 2.294,62</w:t>
      </w:r>
    </w:p>
    <w:p>
      <w:pPr>
        <w:spacing w:after="40"/>
      </w:pPr>
      <w:r>
        <w:rPr>
          <w:rFonts w:ascii="Arial" w:hAnsi="Arial"/>
          <w:b/>
          <w:i w:val="0"/>
          <w:color w:val="555555"/>
          <w:sz w:val="21"/>
        </w:rPr>
        <w:t xml:space="preserve">Investimento mensal estimado: </w:t>
      </w:r>
      <w:r>
        <w:rPr>
          <w:rFonts w:ascii="Arial" w:hAnsi="Arial"/>
          <w:b/>
          <w:i w:val="0"/>
          <w:color w:val="1A1A1A"/>
          <w:sz w:val="21"/>
        </w:rPr>
        <w:t>R$ 68.838,70</w:t>
      </w:r>
    </w:p>
    <w:p/>
    <w:p>
      <w:pPr>
        <w:spacing w:after="80"/>
      </w:pPr>
      <w:r>
        <w:rPr>
          <w:rFonts w:ascii="Arial" w:hAnsi="Arial"/>
          <w:b w:val="0"/>
          <w:i w:val="0"/>
          <w:color w:val="555555"/>
          <w:sz w:val="19"/>
        </w:rPr>
        <w:t>* Projeção baseada na manutenção do ROAS atual. Criativos novos e melhorias no funil podem reduzir o investimento necessário para atingir a meta.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28"/>
        </w:rPr>
        <w:t>Estrutura de Campanha Recomendada para Escala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1"/>
        </w:rPr>
        <w:t xml:space="preserve">Campanha Fria (Topo de Funil)  </w:t>
      </w:r>
      <w:r>
        <w:rPr>
          <w:rFonts w:ascii="Arial" w:hAnsi="Arial"/>
          <w:b/>
          <w:i w:val="0"/>
          <w:color w:val="D63B7E"/>
          <w:sz w:val="20"/>
        </w:rPr>
        <w:t>(60–65% do orçamento)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0"/>
        </w:rPr>
        <w:t>Prospecção de novos públicos — LAL de compradores, interesses no nicho, micro-influencers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1"/>
        </w:rPr>
        <w:t xml:space="preserve">Remarketing (Meio/Fundo)  </w:t>
      </w:r>
      <w:r>
        <w:rPr>
          <w:rFonts w:ascii="Arial" w:hAnsi="Arial"/>
          <w:b/>
          <w:i w:val="0"/>
          <w:color w:val="D63B7E"/>
          <w:sz w:val="20"/>
        </w:rPr>
        <w:t>(25–30% do orçamento)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0"/>
        </w:rPr>
        <w:t>Visitantes do site, adicionaram ao carrinho, iniciaram checkout — criativos de urgência e prova social</w:t>
      </w:r>
    </w:p>
    <w:p>
      <w:pPr>
        <w:spacing w:after="20"/>
      </w:pPr>
      <w:r>
        <w:rPr>
          <w:rFonts w:ascii="Arial" w:hAnsi="Arial"/>
          <w:b/>
          <w:i w:val="0"/>
          <w:color w:val="1A1A1A"/>
          <w:sz w:val="21"/>
        </w:rPr>
        <w:t xml:space="preserve">Mensagens / Conversas  </w:t>
      </w:r>
      <w:r>
        <w:rPr>
          <w:rFonts w:ascii="Arial" w:hAnsi="Arial"/>
          <w:b/>
          <w:i w:val="0"/>
          <w:color w:val="D63B7E"/>
          <w:sz w:val="20"/>
        </w:rPr>
        <w:t>(10% do orçamento)</w:t>
      </w:r>
    </w:p>
    <w:p>
      <w:pPr>
        <w:spacing w:after="80"/>
      </w:pPr>
      <w:r>
        <w:rPr>
          <w:rFonts w:ascii="Arial" w:hAnsi="Arial"/>
          <w:b w:val="0"/>
          <w:i w:val="0"/>
          <w:color w:val="555555"/>
          <w:sz w:val="20"/>
        </w:rPr>
        <w:t>Reengajamento de público quente via WhatsApp ou DM — validar custo por conversa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28"/>
        </w:rPr>
        <w:t>Cronograma de Escalonamento Gradual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Semanas 1–2: manter orçamento atual, testar 3–5 novos criativos de micro-influencers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Semanas 3–4: ampliar 20–30% do investimento nos criativos vencedores, monitorar ROAS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Mês 2: escalar para 50% acima do investimento atual, estruturar RMKT robusto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A1A1A"/>
          <w:sz w:val="21"/>
        </w:rPr>
        <w:t>Mês 3: atingir o patamar de investimento projetado para 50 unidades/dia com funil completo</w:t>
      </w:r>
    </w:p>
    <w:p/>
    <w:p>
      <w:pPr>
        <w:spacing w:before="320" w:after="80"/>
        <w:jc w:val="left"/>
      </w:pPr>
      <w:r>
        <w:rPr>
          <w:rFonts w:ascii="Arial" w:hAnsi="Arial"/>
          <w:b/>
          <w:i w:val="0"/>
          <w:color w:val="D63B7E"/>
          <w:sz w:val="28"/>
        </w:rPr>
        <w:t>O que Precisamos do Cliente nessa Jornada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Novos criativos: </w:t>
      </w:r>
      <w:r>
        <w:rPr>
          <w:rFonts w:ascii="Arial" w:hAnsi="Arial"/>
          <w:b w:val="0"/>
          <w:i w:val="0"/>
          <w:color w:val="1A1A1A"/>
          <w:sz w:val="21"/>
        </w:rPr>
        <w:t>mínimo 3–5 vídeos UGC por mês com influencers do nicho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Aprovações ágeis: </w:t>
      </w:r>
      <w:r>
        <w:rPr>
          <w:rFonts w:ascii="Arial" w:hAnsi="Arial"/>
          <w:b w:val="0"/>
          <w:i w:val="0"/>
          <w:color w:val="1A1A1A"/>
          <w:sz w:val="21"/>
        </w:rPr>
        <w:t>feedback de criativos em até 24h para não perder janela de veiculação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Ampliação de verba: </w:t>
      </w:r>
      <w:r>
        <w:rPr>
          <w:rFonts w:ascii="Arial" w:hAnsi="Arial"/>
          <w:b w:val="0"/>
          <w:i w:val="0"/>
          <w:color w:val="1A1A1A"/>
          <w:sz w:val="21"/>
        </w:rPr>
        <w:t>chegar a R$ 2.294,62/dia de forma escalonada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Acesso à Coinzz: </w:t>
      </w:r>
      <w:r>
        <w:rPr>
          <w:rFonts w:ascii="Arial" w:hAnsi="Arial"/>
          <w:b w:val="0"/>
          <w:i w:val="0"/>
          <w:color w:val="1A1A1A"/>
          <w:sz w:val="21"/>
        </w:rPr>
        <w:t>rastreio real de vendas para cruzar dados da plataforma com Meta — hoje dependemos só da atribuição do Meta, que pode subcontar</w:t>
      </w:r>
    </w:p>
    <w:p>
      <w:pPr>
        <w:pStyle w:val="ListBullet"/>
        <w:spacing w:after="40"/>
      </w:pPr>
      <w:r>
        <w:rPr>
          <w:rFonts w:ascii="Arial" w:hAnsi="Arial"/>
          <w:b/>
          <w:i w:val="0"/>
          <w:color w:val="D63B7E"/>
          <w:sz w:val="21"/>
        </w:rPr>
        <w:t xml:space="preserve">Pixel e CAPI: </w:t>
      </w:r>
      <w:r>
        <w:rPr>
          <w:rFonts w:ascii="Arial" w:hAnsi="Arial"/>
          <w:b w:val="0"/>
          <w:i w:val="0"/>
          <w:color w:val="1A1A1A"/>
          <w:sz w:val="21"/>
        </w:rPr>
        <w:t>verificar se Conversions API está ativa para maximizar rastreio em iOS</w:t>
      </w:r>
    </w:p>
    <w:p>
      <w:pPr>
        <w:spacing w:before="120" w:after="120"/>
      </w:pPr>
      <w:r>
        <w:rPr>
          <w:rFonts w:ascii="Arial" w:hAnsi="Arial"/>
          <w:b w:val="0"/>
          <w:i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Arial" w:hAnsi="Arial"/>
          <w:b/>
          <w:i w:val="0"/>
          <w:color w:val="555555"/>
          <w:sz w:val="20"/>
        </w:rPr>
        <w:t>Bruno — Gestor de Tráfego Piloti</w:t>
      </w:r>
    </w:p>
    <w:p>
      <w:pPr>
        <w:jc w:val="center"/>
      </w:pPr>
      <w:r>
        <w:rPr>
          <w:rFonts w:ascii="Arial" w:hAnsi="Arial"/>
          <w:b w:val="0"/>
          <w:i w:val="0"/>
          <w:color w:val="AAAAAA"/>
          <w:sz w:val="18"/>
        </w:rPr>
        <w:t>Emitido em 14/04/2026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