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Note de revue CSPS — PGCSPS KARIBU (V2 → V3)</w:t>
      </w:r>
    </w:p>
    <w:bookmarkStart w:id="13" w:name="note-de-revue-pgcsps-karibu"/>
    <w:p>
      <w:pPr>
        <w:pStyle w:val="Heading1"/>
      </w:pPr>
      <w:r>
        <w:t xml:space="preserve">NOTE DE REVUE — PGCSPS KARIBU</w:t>
      </w:r>
    </w:p>
    <w:p>
      <w:pPr>
        <w:pStyle w:val="FirstParagraph"/>
      </w:pPr>
      <w:r>
        <w:rPr>
          <w:b/>
          <w:bCs/>
        </w:rPr>
        <w:t xml:space="preserve">Objet :</w:t>
      </w:r>
      <w:r>
        <w:t xml:space="preserve"> </w:t>
      </w:r>
      <w:r>
        <w:t xml:space="preserve">revue du Plan Général de Coordination SPS « KARIBU V2 » (indice B) par le Coordinateur SPS — émission de la version corrigée</w:t>
      </w:r>
      <w:r>
        <w:t xml:space="preserve"> </w:t>
      </w:r>
      <w:r>
        <w:rPr>
          <w:b/>
          <w:bCs/>
        </w:rPr>
        <w:t xml:space="preserve">indice C (V3)</w:t>
      </w:r>
      <w:r>
        <w:t xml:space="preserve">.</w:t>
      </w:r>
      <w:r>
        <w:t xml:space="preserve"> </w:t>
      </w:r>
      <w:r>
        <w:rPr>
          <w:b/>
          <w:bCs/>
        </w:rPr>
        <w:t xml:space="preserve">Date de revue :</w:t>
      </w:r>
      <w:r>
        <w:t xml:space="preserve"> </w:t>
      </w:r>
      <w:r>
        <w:t xml:space="preserve">12/09/2026</w:t>
      </w:r>
      <w:r>
        <w:t xml:space="preserve"> </w:t>
      </w:r>
      <w:r>
        <w:rPr>
          <w:b/>
          <w:bCs/>
        </w:rPr>
        <w:t xml:space="preserve">Relecteur :</w:t>
      </w:r>
      <w:r>
        <w:t xml:space="preserve"> </w:t>
      </w:r>
      <w:r>
        <w:t xml:space="preserve">Coordinateur SPS</w:t>
      </w:r>
    </w:p>
    <w:bookmarkStart w:id="9" w:name="anomalies-de-fond-corrigées"/>
    <w:p>
      <w:pPr>
        <w:pStyle w:val="Heading2"/>
      </w:pPr>
      <w:r>
        <w:t xml:space="preserve">1. Anomalies de fond corrigées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"/>
        <w:gridCol w:w="3677"/>
        <w:gridCol w:w="3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Anomalie constatée (V2)</w:t>
            </w:r>
          </w:p>
        </w:tc>
        <w:tc>
          <w:tcPr/>
          <w:p>
            <w:pPr>
              <w:pStyle w:val="Compact"/>
            </w:pPr>
            <w:r>
              <w:t xml:space="preserve">Correction apportée (V3)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Annexe 3 « Liste des numéros utiles » intitulée</w:t>
            </w:r>
            <w:r>
              <w:t xml:space="preserve"> </w:t>
            </w:r>
            <w:r>
              <w:rPr>
                <w:b/>
                <w:bCs/>
              </w:rPr>
              <w:t xml:space="preserve">MAKAAN OASIS</w:t>
            </w:r>
            <w:r>
              <w:t xml:space="preserve"> </w:t>
            </w:r>
            <w:r>
              <w:t xml:space="preserve">(reste d’un autre projet)</w:t>
            </w:r>
          </w:p>
        </w:tc>
        <w:tc>
          <w:tcPr/>
          <w:p>
            <w:pPr>
              <w:pStyle w:val="Compact"/>
            </w:pPr>
            <w:r>
              <w:t xml:space="preserve">Liste transcrite et retitrée</w:t>
            </w:r>
            <w:r>
              <w:t xml:space="preserve"> </w:t>
            </w:r>
            <w:r>
              <w:rPr>
                <w:b/>
                <w:bCs/>
              </w:rPr>
              <w:t xml:space="preserve">KARIBU</w:t>
            </w:r>
            <w:r>
              <w:t xml:space="preserve"> </w:t>
            </w:r>
            <w:r>
              <w:t xml:space="preserve">; numéros conservés, complétés (CHNU Fann, Inspection du travail, contacts chantier)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 Structure de santé la plus proche : CHNU Fann » — éloignée des Almadies</w:t>
            </w:r>
          </w:p>
        </w:tc>
        <w:tc>
          <w:tcPr/>
          <w:p>
            <w:pPr>
              <w:pStyle w:val="Compact"/>
            </w:pPr>
            <w:r>
              <w:t xml:space="preserve">Structure de référence :</w:t>
            </w:r>
            <w:r>
              <w:t xml:space="preserve"> </w:t>
            </w:r>
            <w:r>
              <w:rPr>
                <w:b/>
                <w:bCs/>
              </w:rPr>
              <w:t xml:space="preserve">Hôpital Militaire de Ouakam</w:t>
            </w:r>
            <w:r>
              <w:t xml:space="preserve"> </w:t>
            </w:r>
            <w:r>
              <w:t xml:space="preserve">(secteur Almadies/Ouakam) ; CHNU Fann conservé comme recours hospitalier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Accueil sécurité attribué à « l’entreprise Réalités Sénégal » (maître d’ouvrage)</w:t>
            </w:r>
          </w:p>
        </w:tc>
        <w:tc>
          <w:tcPr/>
          <w:p>
            <w:pPr>
              <w:pStyle w:val="Compact"/>
            </w:pPr>
            <w:r>
              <w:t xml:space="preserve">Attribué à</w:t>
            </w:r>
            <w:r>
              <w:t xml:space="preserve"> </w:t>
            </w:r>
            <w:r>
              <w:rPr>
                <w:b/>
                <w:bCs/>
              </w:rPr>
              <w:t xml:space="preserve">l’entreprise générale</w:t>
            </w:r>
            <w:r>
              <w:t xml:space="preserve"> </w:t>
            </w:r>
            <w:r>
              <w:t xml:space="preserve">; rappel de la responsabilité de chaque employeur pour son personnel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 Réalités Sénégal met à disposition l’eau potable » (§6.5.2)</w:t>
            </w:r>
          </w:p>
        </w:tc>
        <w:tc>
          <w:tcPr/>
          <w:p>
            <w:pPr>
              <w:pStyle w:val="Compact"/>
            </w:pPr>
            <w:r>
              <w:t xml:space="preserve">Attribué à l’entreprise générale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 VGP : Visite Générique Périodique 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Vérification Générale Périodique</w:t>
            </w:r>
            <w:r>
              <w:t xml:space="preserve"> </w:t>
            </w:r>
            <w:r>
              <w:t xml:space="preserve">; périodicités précisées (6 mois levage / 12 mois autres)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Aucune disposition sur la</w:t>
            </w:r>
            <w:r>
              <w:t xml:space="preserve"> </w:t>
            </w:r>
            <w:r>
              <w:rPr>
                <w:b/>
                <w:bCs/>
              </w:rPr>
              <w:t xml:space="preserve">coactivité</w:t>
            </w:r>
            <w:r>
              <w:t xml:space="preserve"> </w:t>
            </w:r>
            <w:r>
              <w:t xml:space="preserve">entre entreprises</w:t>
            </w:r>
          </w:p>
        </w:tc>
        <w:tc>
          <w:tcPr/>
          <w:p>
            <w:pPr>
              <w:pStyle w:val="Compact"/>
            </w:pPr>
            <w:r>
              <w:t xml:space="preserve">Ajout §4.2 : plan de prévention coactivité, transmission des PPSPS avant entrée, comité de coordination mensuel, fiche de non-conformité, arrêt en cas de danger grave et imminent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Aucun permis pour les</w:t>
            </w:r>
            <w:r>
              <w:t xml:space="preserve"> </w:t>
            </w:r>
            <w:r>
              <w:rPr>
                <w:b/>
                <w:bCs/>
              </w:rPr>
              <w:t xml:space="preserve">espaces confinés</w:t>
            </w:r>
            <w:r>
              <w:t xml:space="preserve"> </w:t>
            </w:r>
            <w:r>
              <w:t xml:space="preserve">(2 sous-sols)</w:t>
            </w:r>
          </w:p>
        </w:tc>
        <w:tc>
          <w:tcPr/>
          <w:p>
            <w:pPr>
              <w:pStyle w:val="Compact"/>
            </w:pPr>
            <w:r>
              <w:t xml:space="preserve">Ajout d’une ligne « espaces confinés » au tableau des permis + ligne de risques dédiée (détection gaz, ventilation, surveillant)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Pas de dispositions climatiques</w:t>
            </w:r>
          </w:p>
        </w:tc>
        <w:tc>
          <w:tcPr/>
          <w:p>
            <w:pPr>
              <w:pStyle w:val="Compact"/>
            </w:pPr>
            <w:r>
              <w:t xml:space="preserve">Ajout §6.2 : chaleur/hydratation, suspension des travaux en hauteur par pluie/vent, vigilance hivernage (fouilles, ruissellement)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Numéros d’urgence incomplets dans le corps</w:t>
            </w:r>
          </w:p>
        </w:tc>
        <w:tc>
          <w:tcPr/>
          <w:p>
            <w:pPr>
              <w:pStyle w:val="Compact"/>
            </w:pPr>
            <w:r>
              <w:t xml:space="preserve">Ajout SAMU</w:t>
            </w:r>
            <w:r>
              <w:t xml:space="preserve"> </w:t>
            </w:r>
            <w:r>
              <w:rPr>
                <w:b/>
                <w:bCs/>
              </w:rPr>
              <w:t xml:space="preserve">15 15</w:t>
            </w:r>
            <w:r>
              <w:t xml:space="preserve"> </w:t>
            </w:r>
            <w:r>
              <w:t xml:space="preserve">en alternative au 18 ; renvoi Annexe 3 ; numéros sur le panneau de chantier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Inspection du travail : contact partiel</w:t>
            </w:r>
          </w:p>
        </w:tc>
        <w:tc>
          <w:tcPr/>
          <w:p>
            <w:pPr>
              <w:pStyle w:val="Compact"/>
            </w:pPr>
            <w:r>
              <w:t xml:space="preserve">Conservé Mme Diatta + cohérence avec l’Annexe 3</w:t>
            </w:r>
          </w:p>
        </w:tc>
      </w:tr>
    </w:tbl>
    <w:bookmarkEnd w:id="9"/>
    <w:bookmarkStart w:id="10" w:name="Xf0f48fd4a21b623241e0eb78fa5158dcbd50730"/>
    <w:p>
      <w:pPr>
        <w:pStyle w:val="Heading2"/>
      </w:pPr>
      <w:r>
        <w:t xml:space="preserve">2. Corrections formelles (orthographe, terminologie)</w:t>
      </w:r>
    </w:p>
    <w:p>
      <w:pPr>
        <w:pStyle w:val="Compact"/>
        <w:numPr>
          <w:ilvl w:val="0"/>
          <w:numId w:val="1001"/>
        </w:numPr>
      </w:pPr>
      <w:r>
        <w:t xml:space="preserve">« génerale » →</w:t>
      </w:r>
      <w:r>
        <w:t xml:space="preserve"> </w:t>
      </w:r>
      <w:r>
        <w:rPr>
          <w:b/>
          <w:bCs/>
        </w:rPr>
        <w:t xml:space="preserve">générale</w:t>
      </w:r>
      <w:r>
        <w:t xml:space="preserve"> </w:t>
      </w:r>
      <w:r>
        <w:t xml:space="preserve">; « Abreviations » →</w:t>
      </w:r>
      <w:r>
        <w:t xml:space="preserve"> </w:t>
      </w:r>
      <w:r>
        <w:rPr>
          <w:b/>
          <w:bCs/>
        </w:rPr>
        <w:t xml:space="preserve">Abréviations</w:t>
      </w:r>
      <w:r>
        <w:t xml:space="preserve"> </w:t>
      </w:r>
      <w:r>
        <w:t xml:space="preserve">; « Responsabilites » →</w:t>
      </w:r>
      <w:r>
        <w:t xml:space="preserve"> </w:t>
      </w:r>
      <w:r>
        <w:rPr>
          <w:b/>
          <w:bCs/>
        </w:rPr>
        <w:t xml:space="preserve">Responsabilités</w:t>
      </w:r>
      <w:r>
        <w:t xml:space="preserve"> </w:t>
      </w:r>
      <w:r>
        <w:t xml:space="preserve">; « Materiel » →</w:t>
      </w:r>
      <w:r>
        <w:t xml:space="preserve"> </w:t>
      </w:r>
      <w:r>
        <w:rPr>
          <w:b/>
          <w:bCs/>
        </w:rPr>
        <w:t xml:space="preserve">Matériel</w:t>
      </w:r>
      <w:r>
        <w:t xml:space="preserve"> </w:t>
      </w:r>
      <w:r>
        <w:t xml:space="preserve">; « Frequence » →</w:t>
      </w:r>
      <w:r>
        <w:t xml:space="preserve"> </w:t>
      </w:r>
      <w:r>
        <w:rPr>
          <w:b/>
          <w:bCs/>
        </w:rPr>
        <w:t xml:space="preserve">Fréquence</w:t>
      </w:r>
      <w:r>
        <w:t xml:space="preserve"> </w:t>
      </w:r>
      <w:r>
        <w:t xml:space="preserve">; « sante » →</w:t>
      </w:r>
      <w:r>
        <w:t xml:space="preserve"> </w:t>
      </w:r>
      <w:r>
        <w:rPr>
          <w:b/>
          <w:bCs/>
        </w:rPr>
        <w:t xml:space="preserve">santé</w:t>
      </w:r>
      <w:r>
        <w:t xml:space="preserve"> </w:t>
      </w:r>
      <w:r>
        <w:t xml:space="preserve">; « securité » →</w:t>
      </w:r>
      <w:r>
        <w:t xml:space="preserve"> </w:t>
      </w:r>
      <w:r>
        <w:rPr>
          <w:b/>
          <w:bCs/>
        </w:rPr>
        <w:t xml:space="preserve">sécurité</w:t>
      </w:r>
    </w:p>
    <w:p>
      <w:pPr>
        <w:pStyle w:val="Compact"/>
        <w:numPr>
          <w:ilvl w:val="0"/>
          <w:numId w:val="1001"/>
        </w:numPr>
      </w:pPr>
      <w:r>
        <w:t xml:space="preserve">« arase terrassement » →</w:t>
      </w:r>
      <w:r>
        <w:t xml:space="preserve"> </w:t>
      </w:r>
      <w:r>
        <w:rPr>
          <w:b/>
          <w:bCs/>
        </w:rPr>
        <w:t xml:space="preserve">arse de terrassement</w:t>
      </w:r>
      <w:r>
        <w:t xml:space="preserve"> </w:t>
      </w:r>
      <w:r>
        <w:t xml:space="preserve">; « bip de recule » →</w:t>
      </w:r>
      <w:r>
        <w:t xml:space="preserve"> </w:t>
      </w:r>
      <w:r>
        <w:rPr>
          <w:b/>
          <w:bCs/>
        </w:rPr>
        <w:t xml:space="preserve">avertisseur sonore de recul</w:t>
      </w:r>
      <w:r>
        <w:t xml:space="preserve"> </w:t>
      </w:r>
      <w:r>
        <w:t xml:space="preserve">; « rétro-fléchissant » →</w:t>
      </w:r>
      <w:r>
        <w:t xml:space="preserve"> </w:t>
      </w:r>
      <w:r>
        <w:rPr>
          <w:b/>
          <w:bCs/>
        </w:rPr>
        <w:t xml:space="preserve">rétro-réfléchissant</w:t>
      </w:r>
      <w:r>
        <w:t xml:space="preserve"> </w:t>
      </w:r>
      <w:r>
        <w:t xml:space="preserve">; « innhalation » →</w:t>
      </w:r>
      <w:r>
        <w:t xml:space="preserve"> </w:t>
      </w:r>
      <w:r>
        <w:rPr>
          <w:b/>
          <w:bCs/>
        </w:rPr>
        <w:t xml:space="preserve">inhalation</w:t>
      </w:r>
      <w:r>
        <w:t xml:space="preserve"> </w:t>
      </w:r>
      <w:r>
        <w:t xml:space="preserve">; « Brulures » →</w:t>
      </w:r>
      <w:r>
        <w:t xml:space="preserve"> </w:t>
      </w:r>
      <w:r>
        <w:rPr>
          <w:b/>
          <w:bCs/>
        </w:rPr>
        <w:t xml:space="preserve">brûlures</w:t>
      </w:r>
      <w:r>
        <w:t xml:space="preserve"> </w:t>
      </w:r>
      <w:r>
        <w:t xml:space="preserve">; « poussieres » →</w:t>
      </w:r>
      <w:r>
        <w:t xml:space="preserve"> </w:t>
      </w:r>
      <w:r>
        <w:rPr>
          <w:b/>
          <w:bCs/>
        </w:rPr>
        <w:t xml:space="preserve">poussières</w:t>
      </w:r>
    </w:p>
    <w:p>
      <w:pPr>
        <w:pStyle w:val="Compact"/>
        <w:numPr>
          <w:ilvl w:val="0"/>
          <w:numId w:val="1001"/>
        </w:numPr>
      </w:pPr>
      <w:r>
        <w:t xml:space="preserve">« l’entreprise reste seul responsable » →</w:t>
      </w:r>
      <w:r>
        <w:t xml:space="preserve"> </w:t>
      </w:r>
      <w:r>
        <w:rPr>
          <w:b/>
          <w:bCs/>
        </w:rPr>
        <w:t xml:space="preserve">seule responsable</w:t>
      </w:r>
      <w:r>
        <w:t xml:space="preserve"> </w:t>
      </w:r>
      <w:r>
        <w:t xml:space="preserve">; « nos engins » →</w:t>
      </w:r>
      <w:r>
        <w:t xml:space="preserve"> </w:t>
      </w:r>
      <w:r>
        <w:rPr>
          <w:b/>
          <w:bCs/>
        </w:rPr>
        <w:t xml:space="preserve">ses engins</w:t>
      </w:r>
      <w:r>
        <w:t xml:space="preserve"> </w:t>
      </w:r>
      <w:r>
        <w:t xml:space="preserve">(cohérence rédactionnelle)</w:t>
      </w:r>
    </w:p>
    <w:p>
      <w:pPr>
        <w:pStyle w:val="Compact"/>
        <w:numPr>
          <w:ilvl w:val="0"/>
          <w:numId w:val="1001"/>
        </w:numPr>
      </w:pPr>
      <w:r>
        <w:t xml:space="preserve">« POINTS À OBSERVÉS » →</w:t>
      </w:r>
      <w:r>
        <w:t xml:space="preserve"> </w:t>
      </w:r>
      <w:r>
        <w:rPr>
          <w:b/>
          <w:bCs/>
        </w:rPr>
        <w:t xml:space="preserve">POINTS À OBSERVER</w:t>
      </w:r>
      <w:r>
        <w:t xml:space="preserve"> </w:t>
      </w:r>
      <w:r>
        <w:t xml:space="preserve">; « Protection individuelles minimum obligatoire » →</w:t>
      </w:r>
      <w:r>
        <w:t xml:space="preserve"> </w:t>
      </w:r>
      <w:r>
        <w:rPr>
          <w:b/>
          <w:bCs/>
        </w:rPr>
        <w:t xml:space="preserve">Protections individuelles minimales obligatoires</w:t>
      </w:r>
    </w:p>
    <w:p>
      <w:pPr>
        <w:pStyle w:val="Compact"/>
        <w:numPr>
          <w:ilvl w:val="0"/>
          <w:numId w:val="1001"/>
        </w:numPr>
      </w:pPr>
      <w:r>
        <w:t xml:space="preserve">« Mat d’éclairage » →</w:t>
      </w:r>
      <w:r>
        <w:t xml:space="preserve"> </w:t>
      </w:r>
      <w:r>
        <w:rPr>
          <w:b/>
          <w:bCs/>
        </w:rPr>
        <w:t xml:space="preserve">Mât d’éclairage</w:t>
      </w:r>
      <w:r>
        <w:t xml:space="preserve"> </w:t>
      </w:r>
      <w:r>
        <w:t xml:space="preserve">; « guide file » →</w:t>
      </w:r>
      <w:r>
        <w:t xml:space="preserve"> </w:t>
      </w:r>
      <w:r>
        <w:rPr>
          <w:b/>
          <w:bCs/>
        </w:rPr>
        <w:t xml:space="preserve">guide-file</w:t>
      </w:r>
      <w:r>
        <w:t xml:space="preserve"> </w:t>
      </w:r>
      <w:r>
        <w:t xml:space="preserve">; consignes incendie harmonisées à l’infinitif</w:t>
      </w:r>
    </w:p>
    <w:p>
      <w:pPr>
        <w:pStyle w:val="Compact"/>
        <w:numPr>
          <w:ilvl w:val="0"/>
          <w:numId w:val="1001"/>
        </w:numPr>
      </w:pPr>
      <w:r>
        <w:t xml:space="preserve">« 6mois / 1an » →</w:t>
      </w:r>
      <w:r>
        <w:t xml:space="preserve"> </w:t>
      </w:r>
      <w:r>
        <w:rPr>
          <w:b/>
          <w:bCs/>
        </w:rPr>
        <w:t xml:space="preserve">6 mois / 12 mois</w:t>
      </w:r>
      <w:r>
        <w:t xml:space="preserve"> </w:t>
      </w:r>
      <w:r>
        <w:t xml:space="preserve">; « 3l » →</w:t>
      </w:r>
      <w:r>
        <w:t xml:space="preserve"> </w:t>
      </w:r>
      <w:r>
        <w:rPr>
          <w:b/>
          <w:bCs/>
        </w:rPr>
        <w:t xml:space="preserve">3 L</w:t>
      </w:r>
      <w:r>
        <w:t xml:space="preserve"> </w:t>
      </w:r>
      <w:r>
        <w:t xml:space="preserve">; « 1/4 d’heures » →</w:t>
      </w:r>
      <w:r>
        <w:t xml:space="preserve"> </w:t>
      </w:r>
      <w:r>
        <w:rPr>
          <w:b/>
          <w:bCs/>
        </w:rPr>
        <w:t xml:space="preserve">quarts d’heure</w:t>
      </w:r>
    </w:p>
    <w:p>
      <w:pPr>
        <w:pStyle w:val="Compact"/>
        <w:numPr>
          <w:ilvl w:val="0"/>
          <w:numId w:val="1001"/>
        </w:numPr>
      </w:pPr>
      <w:r>
        <w:t xml:space="preserve">« Coordonnateur SPS » →</w:t>
      </w:r>
      <w:r>
        <w:t xml:space="preserve"> </w:t>
      </w:r>
      <w:r>
        <w:rPr>
          <w:b/>
          <w:bCs/>
        </w:rPr>
        <w:t xml:space="preserve">Coordinateur SPS</w:t>
      </w:r>
      <w:r>
        <w:t xml:space="preserve"> </w:t>
      </w:r>
      <w:r>
        <w:t xml:space="preserve">; « Entreprise génerale » →</w:t>
      </w:r>
      <w:r>
        <w:t xml:space="preserve"> </w:t>
      </w:r>
      <w:r>
        <w:rPr>
          <w:b/>
          <w:bCs/>
        </w:rPr>
        <w:t xml:space="preserve">Entreprise générale</w:t>
      </w:r>
      <w:r>
        <w:t xml:space="preserve"> </w:t>
      </w:r>
      <w:r>
        <w:t xml:space="preserve">; homogénéisation des majuscules et accents</w:t>
      </w:r>
    </w:p>
    <w:p>
      <w:pPr>
        <w:pStyle w:val="Compact"/>
        <w:numPr>
          <w:ilvl w:val="0"/>
          <w:numId w:val="1001"/>
        </w:numPr>
      </w:pPr>
      <w:r>
        <w:t xml:space="preserve">« situé aux almadies » →</w:t>
      </w:r>
      <w:r>
        <w:t xml:space="preserve"> </w:t>
      </w:r>
      <w:r>
        <w:rPr>
          <w:b/>
          <w:bCs/>
        </w:rPr>
        <w:t xml:space="preserve">situé aux Almadies (commune de Ngor, Dakar)</w:t>
      </w:r>
      <w:r>
        <w:t xml:space="preserve"> </w:t>
      </w:r>
      <w:r>
        <w:t xml:space="preserve">; « appartement » →</w:t>
      </w:r>
      <w:r>
        <w:t xml:space="preserve"> </w:t>
      </w:r>
      <w:r>
        <w:rPr>
          <w:b/>
          <w:bCs/>
        </w:rPr>
        <w:t xml:space="preserve">appartements</w:t>
      </w:r>
      <w:r>
        <w:t xml:space="preserve"> </w:t>
      </w:r>
      <w:r>
        <w:t xml:space="preserve">(7e étage)</w:t>
      </w:r>
    </w:p>
    <w:p>
      <w:pPr>
        <w:pStyle w:val="Compact"/>
        <w:numPr>
          <w:ilvl w:val="0"/>
          <w:numId w:val="1001"/>
        </w:numPr>
      </w:pPr>
      <w:r>
        <w:t xml:space="preserve">Références : ajout de la</w:t>
      </w:r>
      <w:r>
        <w:t xml:space="preserve"> </w:t>
      </w:r>
      <w:r>
        <w:rPr>
          <w:b/>
          <w:bCs/>
        </w:rPr>
        <w:t xml:space="preserve">Loi n° 97-17 du 1er décembre 1997</w:t>
      </w:r>
      <w:r>
        <w:t xml:space="preserve"> </w:t>
      </w:r>
      <w:r>
        <w:t xml:space="preserve">portant Code du travail ; référence au PPSPS des entreprises</w:t>
      </w:r>
    </w:p>
    <w:p>
      <w:pPr>
        <w:pStyle w:val="Compact"/>
        <w:numPr>
          <w:ilvl w:val="0"/>
          <w:numId w:val="1001"/>
        </w:numPr>
      </w:pPr>
      <w:r>
        <w:t xml:space="preserve">Abréviations : ajout EG, EPC, FDS, HSE, MOA, MOE, PIC, SST, TMS ; suppression des incohérences</w:t>
      </w:r>
    </w:p>
    <w:p>
      <w:pPr>
        <w:pStyle w:val="Compact"/>
        <w:numPr>
          <w:ilvl w:val="0"/>
          <w:numId w:val="1001"/>
        </w:numPr>
      </w:pPr>
      <w:r>
        <w:t xml:space="preserve">Tableau des sous-traitants : élargi aux lots usuels du projet (gros œuvre, étanchéité, menuiseries alu, ascenseurs, incendie, VRD…)</w:t>
      </w:r>
    </w:p>
    <w:bookmarkEnd w:id="10"/>
    <w:bookmarkStart w:id="11" w:name="Xc7b66f731c0f398c8cc1ed36ee265fdfef80607"/>
    <w:p>
      <w:pPr>
        <w:pStyle w:val="Heading2"/>
      </w:pPr>
      <w:r>
        <w:t xml:space="preserve">3. Points restant à renseigner (avant diffusion)</w:t>
      </w:r>
    </w:p>
    <w:p>
      <w:pPr>
        <w:pStyle w:val="FirstParagraph"/>
      </w:pPr>
      <w:r>
        <w:t xml:space="preserve">Les mentions</w:t>
      </w:r>
      <w:r>
        <w:t xml:space="preserve"> </w:t>
      </w:r>
      <w:r>
        <w:rPr>
          <w:b/>
          <w:bCs/>
        </w:rPr>
        <w:t xml:space="preserve">[À RENSEIGNER]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[À INSÉRER]</w:t>
      </w:r>
      <w:r>
        <w:t xml:space="preserve"> </w:t>
      </w:r>
      <w:r>
        <w:t xml:space="preserve">subsistent volontairement dans la V3 :</w:t>
      </w:r>
    </w:p>
    <w:p>
      <w:pPr>
        <w:pStyle w:val="Compact"/>
        <w:numPr>
          <w:ilvl w:val="0"/>
          <w:numId w:val="1002"/>
        </w:numPr>
      </w:pPr>
      <w:r>
        <w:t xml:space="preserve">Coordonnées téléphoniques : entreprise générale, MOA, MOE, APAVE, suppléant CSPS</w:t>
      </w:r>
    </w:p>
    <w:p>
      <w:pPr>
        <w:pStyle w:val="Compact"/>
        <w:numPr>
          <w:ilvl w:val="0"/>
          <w:numId w:val="1002"/>
        </w:numPr>
      </w:pPr>
      <w:r>
        <w:t xml:space="preserve">Liste des sous-traitants (Tableau 1) — dès attribution des lots</w:t>
      </w:r>
    </w:p>
    <w:p>
      <w:pPr>
        <w:pStyle w:val="Compact"/>
        <w:numPr>
          <w:ilvl w:val="0"/>
          <w:numId w:val="1002"/>
        </w:numPr>
      </w:pPr>
      <w:r>
        <w:t xml:space="preserve">Planning prévisionnel des travaux (à joindre)</w:t>
      </w:r>
    </w:p>
    <w:p>
      <w:pPr>
        <w:pStyle w:val="Compact"/>
        <w:numPr>
          <w:ilvl w:val="0"/>
          <w:numId w:val="1002"/>
        </w:numPr>
      </w:pPr>
      <w:r>
        <w:t xml:space="preserve">Effectif moyen et de pointe (Tableau §3.1.6)</w:t>
      </w:r>
    </w:p>
    <w:p>
      <w:pPr>
        <w:pStyle w:val="Compact"/>
        <w:numPr>
          <w:ilvl w:val="0"/>
          <w:numId w:val="1002"/>
        </w:numPr>
      </w:pPr>
      <w:r>
        <w:t xml:space="preserve">Encadrement : chef de projet, conducteur de travaux, médecin du travail</w:t>
      </w:r>
    </w:p>
    <w:p>
      <w:pPr>
        <w:pStyle w:val="Compact"/>
        <w:numPr>
          <w:ilvl w:val="0"/>
          <w:numId w:val="1002"/>
        </w:numPr>
      </w:pPr>
      <w:r>
        <w:t xml:space="preserve">Codification du plan de circulation + plan d’installation de chantier (PIC)</w:t>
      </w:r>
    </w:p>
    <w:p>
      <w:pPr>
        <w:pStyle w:val="Compact"/>
        <w:numPr>
          <w:ilvl w:val="0"/>
          <w:numId w:val="1002"/>
        </w:numPr>
      </w:pPr>
      <w:r>
        <w:t xml:space="preserve">Liste des SST et équipiers sécurité incendie (Annexe 4)</w:t>
      </w:r>
    </w:p>
    <w:p>
      <w:pPr>
        <w:pStyle w:val="Compact"/>
        <w:numPr>
          <w:ilvl w:val="0"/>
          <w:numId w:val="1002"/>
        </w:numPr>
      </w:pPr>
      <w:r>
        <w:t xml:space="preserve">Approbation de l’indice C (colonne « Approuvé »)</w:t>
      </w:r>
    </w:p>
    <w:bookmarkEnd w:id="11"/>
    <w:bookmarkStart w:id="12" w:name="recommandations-du-coordonnateur"/>
    <w:p>
      <w:pPr>
        <w:pStyle w:val="Heading2"/>
      </w:pPr>
      <w:r>
        <w:t xml:space="preserve">4. Recommandations du coordonnateur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Présentation du projet</w:t>
      </w:r>
      <w:r>
        <w:t xml:space="preserve"> </w:t>
      </w:r>
      <w:r>
        <w:t xml:space="preserve">: vérifier la répartition des logements par niveau (« six appartements du 1er au 6e étage » : confirmer s’il s’agit de 6 par niveau ou au total).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Fichier « DT002 – Méthodologie d’exécution KARIBU »</w:t>
      </w:r>
      <w:r>
        <w:t xml:space="preserve"> </w:t>
      </w:r>
      <w:r>
        <w:t xml:space="preserve">(PDF) illisible/endommagé : re-télécharger et contrôler la cohérence avec ce PGCSPS (planning, effectifs, organigramme).</w:t>
      </w:r>
    </w:p>
    <w:p>
      <w:pPr>
        <w:pStyle w:val="Compact"/>
        <w:numPr>
          <w:ilvl w:val="0"/>
          <w:numId w:val="1003"/>
        </w:numPr>
      </w:pPr>
      <w:r>
        <w:t xml:space="preserve">Remplacer progressivement les pictogrammes non normalisés par la signalétique ISO 7010.</w:t>
      </w:r>
    </w:p>
    <w:p>
      <w:pPr>
        <w:pStyle w:val="Compact"/>
        <w:numPr>
          <w:ilvl w:val="0"/>
          <w:numId w:val="1003"/>
        </w:numPr>
      </w:pPr>
      <w:r>
        <w:t xml:space="preserve">Faire valider la liste des numéros utiles par affichage effectif sur le panneau de chantier et au poste de sécurité.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de revue CSPS — PGCSPS KARIBU (V2 → V3)</dc:title>
  <dc:creator/>
  <cp:keywords/>
  <dcterms:created xsi:type="dcterms:W3CDTF">2026-09-12T20:13:06Z</dcterms:created>
  <dcterms:modified xsi:type="dcterms:W3CDTF">2026-09-12T20:13:06Z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