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36"/>
        </w:rPr>
        <w:t>業務資料キット × 研修コース 対応表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伴走支援（この業務資料キット）と、ざつね屋の研修6コースがどこで噛み合うか。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伴走で洗い出した課題を、研修で現場に定着させる／研修で学んだことを伴走の道具で実務に落とす、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という往復で使う。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研修コースの詳細は Obsidian 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project_training_course1〜6.md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 を参照。 コース⑤（AI活用ルール・運用定着編）は設計未整備のため、内容は今後変わりうる。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コース一覧（概要）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コース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内容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主なツール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① 導入編／マインドセット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「AIは手段」「課題起点で考える」の土台づくり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② 実践編（文書系）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文書作成・情報発信をAIで効率化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Gemini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③ 実践編（画像系）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SNS・チラシ・広報のビジュアル作成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Canva（無料）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④ 実践編（動画系）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採用・広報・SNS向けの短尺動画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CapCut・Gemini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⑤ AI活用ルール・運用定着編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情報セキュリティ／社内ガイドライン／KPI設計／推進体制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―（設計未整備）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⑥ 実践編（Claude Code特化）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繰り返し作業の自動化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Claude Code</w:t>
            </w:r>
          </w:p>
        </w:tc>
      </w:tr>
    </w:tbl>
    <w:p>
      <w:pPr>
        <w:spacing w:after="40"/>
      </w:pP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対応表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キットの道具（層）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噛み合う研修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使い方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提案書テンプレート・キックオフ資料（01/05）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①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①で作る「AIは手段・課題起点」の共通認識が、提案とキックオフのトーンの土台になる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業務一覧表_現状分析（02）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②③④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洗い出した作業のうち「文書作成」「広報物作成」「動画」は、②③④で現場が自分で効率化できる。一覧表の作業に対応コースを紐付ける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ECRSワークシート（02）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⑥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「S：簡単にする＝自動化」の具体手段が⑥。ECRSでS判定した繰り返し作業を⑥の題材にする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業務フロー図（03）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⑥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「人の作業とシステム処理を分けて描く」で残った手作業が、⑥の自動化候補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KPI定義_効果測定（05）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⑤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⑤の「KPI設計」の実物テンプレートとして使う。伴走で作ったKPIを⑤で社内に広げる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判断ログ・推進体制図（05/04）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⑤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⑤の「社内ガイドライン策定／推進体制設計」の成果物として、そのまま使える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定着チェックリスト・進め方ガイド（02/05）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⑤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⑤の「運用定着」の実務ツール。研修後、現場が自走で回すための道具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データ資産棚卸し・RAG導入前チェック（04）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⑤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⑤の情報セキュリティ／ガイドラインの前提整理に使う（どのデータをAIに触れさせてよいか）</w:t>
            </w:r>
          </w:p>
        </w:tc>
      </w:tr>
    </w:tbl>
    <w:p>
      <w:pPr>
        <w:spacing w:after="40"/>
      </w:pP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使い分けの目安</w:t>
      </w:r>
    </w:p>
    <w:p>
      <w:pPr>
        <w:pStyle w:val="ListBullet"/>
      </w:pPr>
      <w:r>
        <w:rPr>
          <w:rFonts w:ascii="Yu Gothic" w:hAnsi="Yu Gothic" w:eastAsia="Yu Gothic" w:cs="Yu Gothic"/>
          <w:b/>
          <w:i w:val="0"/>
          <w:color w:val="1A2233"/>
          <w:sz w:val="21"/>
        </w:rPr>
        <w:t>伴走が先、研修が後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：課題を特定してから、その解決に必要なコースを選ぶ。「とりあえず全コース」にしない。</w:t>
      </w:r>
    </w:p>
    <w:p>
      <w:pPr>
        <w:pStyle w:val="ListBullet"/>
      </w:pPr>
      <w:r>
        <w:rPr>
          <w:rFonts w:ascii="Yu Gothic" w:hAnsi="Yu Gothic" w:eastAsia="Yu Gothic" w:cs="Yu Gothic"/>
          <w:b/>
          <w:i w:val="0"/>
          <w:color w:val="1A2233"/>
          <w:sz w:val="21"/>
        </w:rPr>
        <w:t>研修が先、伴走が後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：研修で現場の関心が高まったら、業務一覧表から着手して伴走につなげる。</w:t>
      </w:r>
    </w:p>
    <w:p>
      <w:pPr>
        <w:pStyle w:val="ListBullet"/>
      </w:pPr>
      <w:r>
        <w:rPr>
          <w:rFonts w:ascii="Yu Gothic" w:hAnsi="Yu Gothic" w:eastAsia="Yu Gothic" w:cs="Yu Gothic"/>
          <w:b/>
          <w:i w:val="0"/>
          <w:color w:val="1A2233"/>
          <w:sz w:val="21"/>
        </w:rPr>
        <w:t>⑤は伴走とセットが効く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：ルール・KPI・推進体制は、実際の案件（伴走）の中で作ると定着しやすい。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1A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