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Гадаборшев</w:t>
      </w:r>
      <w:r>
        <w:t xml:space="preserve"> </w:t>
      </w:r>
      <w:r>
        <w:t xml:space="preserve">Заур</w:t>
      </w:r>
      <w:r>
        <w:t xml:space="preserve"> </w:t>
      </w:r>
      <w:r>
        <w:t xml:space="preserve">Закреевич</w:t>
      </w:r>
      <w:r>
        <w:t xml:space="preserve"> </w:t>
      </w:r>
      <w:r>
        <w:t xml:space="preserve">НПИбд-01-23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команды-перехо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Команды перехода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numPr>
          <w:ilvl w:val="0"/>
          <w:numId w:val="1001"/>
        </w:numPr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1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FirstParagraph"/>
      </w:pPr>
      <w:r>
        <w:t xml:space="preserve">Безусловный переход выполняется инструкцией jmp (от англ. jump – прыжок), которая включает в себя адрес перехода, куда следует передать управление.</w:t>
      </w:r>
    </w:p>
    <w:p>
      <w:pPr>
        <w:pStyle w:val="BodyText"/>
      </w:pPr>
      <w:r>
        <w:t xml:space="preserve">Как отмечалось выше, для условного перехода необходима проверка какого-либо условия.</w:t>
      </w:r>
      <w:r>
        <w:t xml:space="preserve"> </w:t>
      </w:r>
      <w:r>
        <w:t xml:space="preserve">В ассемблере команды условного перехода вычисляют условие перехода анализируя флаги</w:t>
      </w:r>
      <w:r>
        <w:t xml:space="preserve"> </w:t>
      </w:r>
      <w:r>
        <w:t xml:space="preserve">из регистра флагов.</w:t>
      </w:r>
    </w:p>
    <w:p>
      <w:pPr>
        <w:pStyle w:val="BodyText"/>
      </w:pP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вычитания.</w:t>
      </w:r>
    </w:p>
    <w:bookmarkEnd w:id="21"/>
    <w:bookmarkStart w:id="22" w:name="листинг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Листинг</w:t>
      </w:r>
    </w:p>
    <w:p>
      <w:pPr>
        <w:pStyle w:val="FirstParagraph"/>
      </w:pPr>
      <w:r>
        <w:t xml:space="preserve">Листинг (в рамках понятийного аппарата NASM) — это один из выходных файлов, созда-</w:t>
      </w:r>
      <w:r>
        <w:t xml:space="preserve"> </w:t>
      </w:r>
      <w:r>
        <w:t xml:space="preserve">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</w:t>
      </w:r>
    </w:p>
    <w:p>
      <w:pPr>
        <w:pStyle w:val="BodyText"/>
      </w:pPr>
      <w:r>
        <w:t xml:space="preserve">Итак, структура листинга:</w:t>
      </w:r>
    </w:p>
    <w:p>
      <w:pPr>
        <w:numPr>
          <w:ilvl w:val="0"/>
          <w:numId w:val="1002"/>
        </w:numPr>
      </w:pPr>
      <w:r>
        <w:t xml:space="preserve">номер строки — это номер строки файла листинга (нужно помнить, что номер строки в файле листинга может не соответствовать номеру строки в файле с исходным текстом программы);</w:t>
      </w:r>
    </w:p>
    <w:p>
      <w:pPr>
        <w:numPr>
          <w:ilvl w:val="0"/>
          <w:numId w:val="1002"/>
        </w:numPr>
      </w:pPr>
      <w:r>
        <w:t xml:space="preserve">адрес — это смещение машинного кода от начала текущего сегмента;</w:t>
      </w:r>
    </w:p>
    <w:p>
      <w:pPr>
        <w:numPr>
          <w:ilvl w:val="0"/>
          <w:numId w:val="1002"/>
        </w:numPr>
      </w:pPr>
      <w:r>
        <w:t xml:space="preserve">машинный код представляет собой ассемблированную исходную строку в виде шестнадцатеричной последовательности. (например, инструкция int 80h начинается по смещению 00000020 в сегменте кода; далее идёт машинный код, в который ассемблируется инструкция, то есть инструкция int 80h ассемблируется в CD80 (в шестнадцатеричном представлении); CD80 — это инструкция на машинном языке, вызывающая прерывание ядра)</w:t>
      </w:r>
    </w:p>
    <w:p>
      <w:pPr>
        <w:numPr>
          <w:ilvl w:val="0"/>
          <w:numId w:val="1002"/>
        </w:numPr>
      </w:pPr>
      <w:r>
        <w:t xml:space="preserve">исходный текст программы — это просто строка исходной программы вместе с комментариями (некоторые строки на языке ассемблера, например, строки, содержащие только комментарии, не генерируют никакого машинного кода, и поля «смещение» и «исходный текст программы» в таких строках отсутствуют, однако номер строки им присваивается)</w:t>
      </w:r>
    </w:p>
    <w:bookmarkEnd w:id="22"/>
    <w:bookmarkEnd w:id="23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6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Создал каталог для программам лабораторной работы № 7 и файл lab7-1.asm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4947385" cy="5082138"/>
            <wp:effectExtent b="0" l="0" r="0" t="0"/>
            <wp:docPr descr="Figure 1: Программа в файле lab7-1.asm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Программа в файле lab7-1.asm</w:t>
      </w:r>
    </w:p>
    <w:bookmarkEnd w:id="0"/>
    <w:p>
      <w:pPr>
        <w:pStyle w:val="BodyText"/>
      </w:pPr>
      <w:r>
        <w:t xml:space="preserve">Создал исполняемый файл и запустил его.</w:t>
      </w:r>
    </w:p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1937425"/>
            <wp:effectExtent b="0" l="0" r="0" t="0"/>
            <wp:docPr descr="Figure 2: Запуск программы lab7-1.asm" title="" id="29" name="Picture"/>
            <a:graphic>
              <a:graphicData uri="http://schemas.openxmlformats.org/drawingml/2006/picture">
                <pic:pic>
                  <pic:nvPicPr>
                    <pic:cNvPr descr="image/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Запуск программы lab7-1.asm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4677877" cy="5014762"/>
            <wp:effectExtent b="0" l="0" r="0" t="0"/>
            <wp:docPr descr="Figure 3: Программа в файле lab7-1.asm" title="" id="33" name="Picture"/>
            <a:graphic>
              <a:graphicData uri="http://schemas.openxmlformats.org/drawingml/2006/picture">
                <pic:pic>
                  <pic:nvPicPr>
                    <pic:cNvPr descr="image/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501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Программа в файле lab7-1.asm</w:t>
      </w:r>
    </w:p>
    <w:bookmarkEnd w:id="0"/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1848577"/>
            <wp:effectExtent b="0" l="0" r="0" t="0"/>
            <wp:docPr descr="Figure 4: Запуск программы lab7-1.asm" title="" id="37" name="Picture"/>
            <a:graphic>
              <a:graphicData uri="http://schemas.openxmlformats.org/drawingml/2006/picture">
                <pic:pic>
                  <pic:nvPicPr>
                    <pic:cNvPr descr="image/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Запуск программы lab7-1.asm</w:t>
      </w:r>
    </w:p>
    <w:bookmarkEnd w:id="0"/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4966635" cy="5014762"/>
            <wp:effectExtent b="0" l="0" r="0" t="0"/>
            <wp:docPr descr="Figure 5: Программа в файле lab7-1.asm" title="" id="41" name="Picture"/>
            <a:graphic>
              <a:graphicData uri="http://schemas.openxmlformats.org/drawingml/2006/picture">
                <pic:pic>
                  <pic:nvPicPr>
                    <pic:cNvPr descr="image/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501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Программа в файле lab7-1.asm</w:t>
      </w:r>
    </w:p>
    <w:bookmarkEnd w:id="0"/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2748063"/>
            <wp:effectExtent b="0" l="0" r="0" t="0"/>
            <wp:docPr descr="Figure 6: Запуск программы lab7-1.asm" title="" id="45" name="Picture"/>
            <a:graphic>
              <a:graphicData uri="http://schemas.openxmlformats.org/drawingml/2006/picture">
                <pic:pic>
                  <pic:nvPicPr>
                    <pic:cNvPr descr="image/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8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Запуск программы lab7-1.asm</w:t>
      </w:r>
    </w:p>
    <w:bookmarkEnd w:id="0"/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7296841"/>
            <wp:effectExtent b="0" l="0" r="0" t="0"/>
            <wp:docPr descr="Figure 7: Программа в файле lab7-2.asm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6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Программа в файле lab7-2.asm</w:t>
      </w:r>
    </w:p>
    <w:bookmarkEnd w:id="0"/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1980045"/>
            <wp:effectExtent b="0" l="0" r="0" t="0"/>
            <wp:docPr descr="Figure 8: Запуск программы lab7-2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0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Запуск программы lab7-2.asm</w:t>
      </w:r>
    </w:p>
    <w:bookmarkEnd w:id="0"/>
    <w:bookmarkEnd w:id="56"/>
    <w:bookmarkStart w:id="69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5334000" cy="4246485"/>
            <wp:effectExtent b="0" l="0" r="0" t="0"/>
            <wp:docPr descr="Figure 9: Файл листинга lab7-2" title="" id="58" name="Picture"/>
            <a:graphic>
              <a:graphicData uri="http://schemas.openxmlformats.org/drawingml/2006/picture">
                <pic:pic>
                  <pic:nvPicPr>
                    <pic:cNvPr descr="image/0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6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Файл листинга lab7-2</w:t>
      </w:r>
    </w:p>
    <w:bookmarkEnd w:id="0"/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203</w:t>
      </w:r>
    </w:p>
    <w:p>
      <w:pPr>
        <w:numPr>
          <w:ilvl w:val="0"/>
          <w:numId w:val="1003"/>
        </w:numPr>
      </w:pPr>
      <w:r>
        <w:t xml:space="preserve">28 - номер строки в подпрограмме</w:t>
      </w:r>
    </w:p>
    <w:p>
      <w:pPr>
        <w:numPr>
          <w:ilvl w:val="0"/>
          <w:numId w:val="1003"/>
        </w:numPr>
      </w:pPr>
      <w:r>
        <w:t xml:space="preserve">0000011C - адрес</w:t>
      </w:r>
    </w:p>
    <w:p>
      <w:pPr>
        <w:numPr>
          <w:ilvl w:val="0"/>
          <w:numId w:val="1003"/>
        </w:numPr>
      </w:pPr>
      <w:r>
        <w:t xml:space="preserve">3B0D[39000000] - машинный код</w:t>
      </w:r>
    </w:p>
    <w:p>
      <w:pPr>
        <w:numPr>
          <w:ilvl w:val="0"/>
          <w:numId w:val="1003"/>
        </w:numPr>
      </w:pPr>
      <w:r>
        <w:t xml:space="preserve">cmp ecx,[C] - код программы - сравнивает регистр ecx и переменную С</w:t>
      </w:r>
    </w:p>
    <w:p>
      <w:pPr>
        <w:pStyle w:val="FirstParagraph"/>
      </w:pPr>
      <w:r>
        <w:t xml:space="preserve">строка 204</w:t>
      </w:r>
    </w:p>
    <w:p>
      <w:pPr>
        <w:numPr>
          <w:ilvl w:val="0"/>
          <w:numId w:val="1004"/>
        </w:numPr>
      </w:pPr>
      <w:r>
        <w:t xml:space="preserve">29 - номер строки в подпрограмме</w:t>
      </w:r>
    </w:p>
    <w:p>
      <w:pPr>
        <w:numPr>
          <w:ilvl w:val="0"/>
          <w:numId w:val="1004"/>
        </w:numPr>
      </w:pPr>
      <w:r>
        <w:t xml:space="preserve">00000122 - адрес</w:t>
      </w:r>
    </w:p>
    <w:p>
      <w:pPr>
        <w:numPr>
          <w:ilvl w:val="0"/>
          <w:numId w:val="1004"/>
        </w:numPr>
      </w:pPr>
      <w:r>
        <w:t xml:space="preserve">7F0C - машинный код</w:t>
      </w:r>
    </w:p>
    <w:p>
      <w:pPr>
        <w:numPr>
          <w:ilvl w:val="0"/>
          <w:numId w:val="1004"/>
        </w:numPr>
      </w:pPr>
      <w:r>
        <w:t xml:space="preserve">jg check_B - код программы - если &gt;, то переход к метке check_B</w:t>
      </w:r>
    </w:p>
    <w:p>
      <w:pPr>
        <w:pStyle w:val="FirstParagraph"/>
      </w:pPr>
      <w:r>
        <w:t xml:space="preserve">строка 205</w:t>
      </w:r>
    </w:p>
    <w:p>
      <w:pPr>
        <w:numPr>
          <w:ilvl w:val="0"/>
          <w:numId w:val="1005"/>
        </w:numPr>
      </w:pPr>
      <w:r>
        <w:t xml:space="preserve">30 - номер строки в подпрограмме</w:t>
      </w:r>
    </w:p>
    <w:p>
      <w:pPr>
        <w:numPr>
          <w:ilvl w:val="0"/>
          <w:numId w:val="1005"/>
        </w:numPr>
      </w:pPr>
      <w:r>
        <w:t xml:space="preserve">00000124 - адрес</w:t>
      </w:r>
    </w:p>
    <w:p>
      <w:pPr>
        <w:numPr>
          <w:ilvl w:val="0"/>
          <w:numId w:val="1005"/>
        </w:numPr>
      </w:pPr>
      <w:r>
        <w:t xml:space="preserve">8B0D[39000000] - машинный код</w:t>
      </w:r>
    </w:p>
    <w:p>
      <w:pPr>
        <w:numPr>
          <w:ilvl w:val="0"/>
          <w:numId w:val="1005"/>
        </w:numPr>
      </w:pPr>
      <w:r>
        <w:t xml:space="preserve">mov ecx,[C] - код программы - перекладывает в регистр ecx значение переменной С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716507"/>
            <wp:effectExtent b="0" l="0" r="0" t="0"/>
            <wp:docPr descr="Figure 10: Ошибка трансляции lab7-2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6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Ошибка трансляции lab7-2</w:t>
      </w:r>
    </w:p>
    <w:bookmarkEnd w:id="0"/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4237193"/>
            <wp:effectExtent b="0" l="0" r="0" t="0"/>
            <wp:docPr descr="Figure 11: Файл листинга с ошибкой lab7-2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7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Файл листинга с ошибкой lab7-2</w:t>
      </w:r>
    </w:p>
    <w:bookmarkEnd w:id="0"/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69"/>
    <w:bookmarkStart w:id="8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BodyText"/>
      </w:pPr>
      <w:r>
        <w:t xml:space="preserve">для варианта 14 - 81, 22, 72</w:t>
      </w:r>
    </w:p>
    <w:bookmarkStart w:id="0" w:name="fig:012"/>
    <w:p>
      <w:pPr>
        <w:pStyle w:val="CaptionedFigure"/>
      </w:pPr>
      <w:bookmarkStart w:id="73" w:name="fig:012"/>
      <w:r>
        <w:drawing>
          <wp:inline>
            <wp:extent cx="4119612" cy="5948412"/>
            <wp:effectExtent b="0" l="0" r="0" t="0"/>
            <wp:docPr descr="Figure 12: Программа в файле task7-1.asm" title="" id="71" name="Picture"/>
            <a:graphic>
              <a:graphicData uri="http://schemas.openxmlformats.org/drawingml/2006/picture">
                <pic:pic>
                  <pic:nvPicPr>
                    <pic:cNvPr descr="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5948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12: Программа в файле task7-1.asm</w:t>
      </w:r>
    </w:p>
    <w:bookmarkEnd w:id="0"/>
    <w:bookmarkStart w:id="0" w:name="fig:013"/>
    <w:p>
      <w:pPr>
        <w:pStyle w:val="CaptionedFigure"/>
      </w:pPr>
      <w:bookmarkStart w:id="77" w:name="fig:013"/>
      <w:r>
        <w:drawing>
          <wp:inline>
            <wp:extent cx="5334000" cy="1567412"/>
            <wp:effectExtent b="0" l="0" r="0" t="0"/>
            <wp:docPr descr="Figure 13: Запуск программы task7-1.asm" title="" id="75" name="Picture"/>
            <a:graphic>
              <a:graphicData uri="http://schemas.openxmlformats.org/drawingml/2006/picture">
                <pic:pic>
                  <pic:nvPicPr>
                    <pic:cNvPr descr="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7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13: Запуск программы task7-1.asm</w:t>
      </w:r>
    </w:p>
    <w:bookmarkEnd w:id="0"/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BodyText"/>
      </w:pPr>
      <w:r>
        <w:t xml:space="preserve">для варианта 14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3</m:t>
        </m:r>
        <m:r>
          <m:rPr>
            <m:sty m:val="p"/>
          </m:rPr>
          <m:t>*</m:t>
        </m:r>
        <m:r>
          <m:t>3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3</m:t>
        </m:r>
        <m:r>
          <m:rPr>
            <m:sty m:val="p"/>
          </m:rPr>
          <m:t>*</m:t>
        </m:r>
        <m:r>
          <m:t>4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bookmarkStart w:id="0" w:name="fig:014"/>
    <w:p>
      <w:pPr>
        <w:pStyle w:val="CaptionedFigure"/>
      </w:pPr>
      <w:bookmarkStart w:id="81" w:name="fig:014"/>
      <w:r>
        <w:drawing>
          <wp:inline>
            <wp:extent cx="4485372" cy="6006164"/>
            <wp:effectExtent b="0" l="0" r="0" t="0"/>
            <wp:docPr descr="Figure 14: Программа в файле task2.asm" title="" id="79" name="Picture"/>
            <a:graphic>
              <a:graphicData uri="http://schemas.openxmlformats.org/drawingml/2006/picture">
                <pic:pic>
                  <pic:nvPicPr>
                    <pic:cNvPr descr="image/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6006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14: Программа в файле task2.asm</w:t>
      </w:r>
    </w:p>
    <w:bookmarkEnd w:id="0"/>
    <w:bookmarkStart w:id="0" w:name="fig:015"/>
    <w:p>
      <w:pPr>
        <w:pStyle w:val="CaptionedFigure"/>
      </w:pPr>
      <w:bookmarkStart w:id="85" w:name="fig:015"/>
      <w:r>
        <w:drawing>
          <wp:inline>
            <wp:extent cx="5334000" cy="1847307"/>
            <wp:effectExtent b="0" l="0" r="0" t="0"/>
            <wp:docPr descr="Figure 15: Запуск программы task2.asm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7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15: Запуск программы task2.asm</w:t>
      </w:r>
    </w:p>
    <w:bookmarkEnd w:id="0"/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Гадаборшев Заур Закреевич НПИбд-01-23</dc:creator>
  <dc:language>ru-RU</dc:language>
  <cp:keywords/>
  <dcterms:created xsi:type="dcterms:W3CDTF">2023-11-20T06:59:59Z</dcterms:created>
  <dcterms:modified xsi:type="dcterms:W3CDTF">2023-11-20T06:59:59Z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