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X4b9c765bc7f41aa23ba4c6c91c57648e18f586c"/>
    <w:p>
      <w:pPr>
        <w:pStyle w:val="Heading1"/>
      </w:pPr>
      <w:r>
        <w:t xml:space="preserve">Tilannekuvakysely koronavirusepidemian vaikutuksista palvelujärjestelmään</w:t>
      </w:r>
    </w:p>
    <w:bookmarkStart w:id="34" w:name="X01957ee8ee1ee04ce1b526d3b6ae5262d393b18"/>
    <w:p>
      <w:pPr>
        <w:pStyle w:val="Heading2"/>
      </w:pPr>
      <w:r>
        <w:t xml:space="preserve">Avovastaukset valinnoista ”huolestuttava” tai ”vaikeutunut” HUSn</w:t>
      </w:r>
      <w:r>
        <w:t xml:space="preserve"> </w:t>
      </w:r>
      <w:r>
        <w:t xml:space="preserve">sairaanhoitopiiristä, 03.01.2022</w:t>
      </w:r>
    </w:p>
    <w:bookmarkStart w:id="20" w:name="nopea-yhteenveto"/>
    <w:p>
      <w:pPr>
        <w:pStyle w:val="Heading5"/>
      </w:pPr>
      <w:r>
        <w:t xml:space="preserve">Nopea yhteenveto:</w:t>
      </w:r>
    </w:p>
    <w:bookmarkEnd w:id="20"/>
    <w:bookmarkStart w:id="23" w:name="erikoissairaanhoito"/>
    <w:p>
      <w:pPr>
        <w:pStyle w:val="Heading3"/>
      </w:pPr>
      <w:r>
        <w:t xml:space="preserve">Erikoissairaanhoito</w:t>
      </w:r>
    </w:p>
    <w:bookmarkStart w:id="21" w:name="palvelujen-saatavuus"/>
    <w:p>
      <w:pPr>
        <w:pStyle w:val="Heading5"/>
      </w:pPr>
      <w:r>
        <w:t xml:space="preserve">Palvelujen saatavuus</w:t>
      </w:r>
    </w:p>
    <w:p>
      <w:pPr>
        <w:numPr>
          <w:ilvl w:val="0"/>
          <w:numId w:val="1001"/>
        </w:numPr>
        <w:pStyle w:val="Compact"/>
      </w:pPr>
      <w:r>
        <w:t xml:space="preserve">Somaattinen: Henkilökuntaa poissa oman tai perheen korona-altistumisen tai -tartunnan vuoksi. Erityisesti päivystyskuormitus on kasvanut ja osastojen paikkatilanne heikentynyt myös non-covid-potilaiden osalta. (Helsingin ja Uudenmaan sairaanhoitopiiri)</w:t>
      </w:r>
    </w:p>
    <w:bookmarkEnd w:id="21"/>
    <w:bookmarkStart w:id="22" w:name="henkilöstön-riittävyys"/>
    <w:p>
      <w:pPr>
        <w:pStyle w:val="Heading5"/>
      </w:pPr>
      <w:r>
        <w:t xml:space="preserve">Henkilöstön riittävyys</w:t>
      </w:r>
    </w:p>
    <w:p>
      <w:pPr>
        <w:numPr>
          <w:ilvl w:val="0"/>
          <w:numId w:val="1002"/>
        </w:numPr>
        <w:pStyle w:val="Compact"/>
      </w:pPr>
      <w:r>
        <w:t xml:space="preserve">Somaattinen poli&amp;avo:</w:t>
      </w:r>
    </w:p>
    <w:p>
      <w:pPr>
        <w:numPr>
          <w:ilvl w:val="0"/>
          <w:numId w:val="1002"/>
        </w:numPr>
        <w:pStyle w:val="Compact"/>
      </w:pPr>
      <w:r>
        <w:t xml:space="preserve">Somaattinen vuodeosasto: Henkilökuntaa poissa oman tai perheen korona-altistumisen tai -tartunnan vuoksi. (Helsingin ja Uudenmaan sairaanhoitopiiri)</w:t>
      </w:r>
    </w:p>
    <w:p>
      <w:pPr>
        <w:numPr>
          <w:ilvl w:val="0"/>
          <w:numId w:val="1002"/>
        </w:numPr>
        <w:pStyle w:val="Compact"/>
      </w:pPr>
      <w:r>
        <w:t xml:space="preserve">Teho: paljon pitkiä ja lyhyempiä sairaspoissaoloja eikä venymistä ylimääräisiin vuoroihin ole (Helsingin ja Uudenmaan sairaanhoitopiiri)</w:t>
      </w:r>
    </w:p>
    <w:bookmarkEnd w:id="22"/>
    <w:bookmarkEnd w:id="23"/>
    <w:bookmarkStart w:id="30" w:name="perusterveydenhuolto"/>
    <w:p>
      <w:pPr>
        <w:pStyle w:val="Heading3"/>
      </w:pPr>
      <w:r>
        <w:t xml:space="preserve">Perusterveydenhuolto</w:t>
      </w:r>
    </w:p>
    <w:bookmarkStart w:id="24" w:name="palvelujen-saatavuus-1"/>
    <w:p>
      <w:pPr>
        <w:pStyle w:val="Heading5"/>
      </w:pPr>
      <w:r>
        <w:t xml:space="preserve">Palvelujen saatavuus</w:t>
      </w:r>
    </w:p>
    <w:p>
      <w:pPr>
        <w:numPr>
          <w:ilvl w:val="0"/>
          <w:numId w:val="1003"/>
        </w:numPr>
        <w:pStyle w:val="Compact"/>
      </w:pPr>
      <w:r>
        <w:t xml:space="preserve">Avosh: T3 , pitenee. Eteenkin hoitajien kiireetöntä vastaanottoa olemme joutuneet rajoittamaan ; tartunnanjäljityksn, rokotusten takia. (Askola), osa avosairaanhoidon työntekijöistä osallistuu tartunnanjäljitykseen (Raasepori)</w:t>
      </w:r>
    </w:p>
    <w:p>
      <w:pPr>
        <w:numPr>
          <w:ilvl w:val="0"/>
          <w:numId w:val="1003"/>
        </w:numPr>
        <w:pStyle w:val="Compact"/>
      </w:pPr>
      <w:r>
        <w:t xml:space="preserve">Vuodeosasto:</w:t>
      </w:r>
    </w:p>
    <w:p>
      <w:pPr>
        <w:numPr>
          <w:ilvl w:val="0"/>
          <w:numId w:val="1003"/>
        </w:numPr>
        <w:pStyle w:val="Compact"/>
      </w:pPr>
      <w:r>
        <w:t xml:space="preserve">Kuntoutus:</w:t>
      </w:r>
    </w:p>
    <w:p>
      <w:pPr>
        <w:numPr>
          <w:ilvl w:val="0"/>
          <w:numId w:val="1003"/>
        </w:numPr>
        <w:pStyle w:val="Compact"/>
      </w:pPr>
      <w:r>
        <w:t xml:space="preserve">Suun th:</w:t>
      </w:r>
    </w:p>
    <w:p>
      <w:pPr>
        <w:numPr>
          <w:ilvl w:val="0"/>
          <w:numId w:val="1003"/>
        </w:numPr>
        <w:pStyle w:val="Compact"/>
      </w:pPr>
      <w:r>
        <w:t xml:space="preserve">Päihdetyö:</w:t>
      </w:r>
    </w:p>
    <w:bookmarkEnd w:id="24"/>
    <w:bookmarkStart w:id="25" w:name="X86cc33ebc6f3bdfe86865b41712228a42178530"/>
    <w:p>
      <w:pPr>
        <w:pStyle w:val="Heading5"/>
      </w:pPr>
      <w:r>
        <w:t xml:space="preserve">Rokotusten, testausten ja tartunnanjäljityksen palvelujen saatavuus</w:t>
      </w:r>
    </w:p>
    <w:p>
      <w:pPr>
        <w:numPr>
          <w:ilvl w:val="0"/>
          <w:numId w:val="1004"/>
        </w:numPr>
        <w:pStyle w:val="Compact"/>
      </w:pPr>
      <w:r>
        <w:t xml:space="preserve">Rokotukset: Tähän on satsattu (Askola), toinen vastaa (Raasepori)</w:t>
      </w:r>
    </w:p>
    <w:p>
      <w:pPr>
        <w:numPr>
          <w:ilvl w:val="0"/>
          <w:numId w:val="1004"/>
        </w:numPr>
        <w:pStyle w:val="Compact"/>
      </w:pPr>
      <w:r>
        <w:t xml:space="preserve">Testaukset: HUSLABin vastuulla (Helsinki)</w:t>
      </w:r>
    </w:p>
    <w:p>
      <w:pPr>
        <w:numPr>
          <w:ilvl w:val="0"/>
          <w:numId w:val="1004"/>
        </w:numPr>
        <w:pStyle w:val="Compact"/>
      </w:pPr>
      <w:r>
        <w:t xml:space="preserve">Jäljitys: Tilanne näyttää nyt olevan ylikuormittumassa . (Askola)</w:t>
      </w:r>
    </w:p>
    <w:bookmarkEnd w:id="25"/>
    <w:bookmarkStart w:id="26" w:name="X1d30fcade67445c2809da97cecaa044be5a20b9"/>
    <w:p>
      <w:pPr>
        <w:pStyle w:val="Heading5"/>
      </w:pPr>
      <w:r>
        <w:t xml:space="preserve">Rajat ylittävän matkustajaliikenteen palvelujen saatavuus</w:t>
      </w:r>
    </w:p>
    <w:p>
      <w:pPr>
        <w:numPr>
          <w:ilvl w:val="0"/>
          <w:numId w:val="1005"/>
        </w:numPr>
        <w:pStyle w:val="Compact"/>
      </w:pPr>
      <w:r>
        <w:t xml:space="preserve">Neuvonta:</w:t>
      </w:r>
    </w:p>
    <w:p>
      <w:pPr>
        <w:numPr>
          <w:ilvl w:val="0"/>
          <w:numId w:val="1005"/>
        </w:numPr>
        <w:pStyle w:val="Compact"/>
      </w:pPr>
      <w:r>
        <w:t xml:space="preserve">Todistukset:</w:t>
      </w:r>
    </w:p>
    <w:p>
      <w:pPr>
        <w:numPr>
          <w:ilvl w:val="0"/>
          <w:numId w:val="1005"/>
        </w:numPr>
        <w:pStyle w:val="Compact"/>
      </w:pPr>
      <w:r>
        <w:t xml:space="preserve">Testaus: HUSLABin vastuulla (Helsinki)</w:t>
      </w:r>
    </w:p>
    <w:p>
      <w:pPr>
        <w:numPr>
          <w:ilvl w:val="0"/>
          <w:numId w:val="1005"/>
        </w:numPr>
        <w:pStyle w:val="Compact"/>
      </w:pPr>
      <w:r>
        <w:t xml:space="preserve">2-testi: HUSLABin vastuulla (Helsinki)</w:t>
      </w:r>
    </w:p>
    <w:bookmarkEnd w:id="26"/>
    <w:bookmarkStart w:id="27" w:name="henkilöstön-riittävyys-1"/>
    <w:p>
      <w:pPr>
        <w:pStyle w:val="Heading5"/>
      </w:pPr>
      <w:r>
        <w:t xml:space="preserve">Henkilöstön riittävyys</w:t>
      </w:r>
    </w:p>
    <w:p>
      <w:pPr>
        <w:numPr>
          <w:ilvl w:val="0"/>
          <w:numId w:val="1006"/>
        </w:numPr>
        <w:pStyle w:val="Compact"/>
      </w:pPr>
      <w:r>
        <w:t xml:space="preserve">Avosh: Irtisanoutumista, toistaiseksi rekrytointi onnistunut (Askola), osa työntekijöistä tartunnanjäljityksessä ja rokottamassa (Raasepori)</w:t>
      </w:r>
    </w:p>
    <w:p>
      <w:pPr>
        <w:numPr>
          <w:ilvl w:val="0"/>
          <w:numId w:val="1006"/>
        </w:numPr>
        <w:pStyle w:val="Compact"/>
      </w:pPr>
      <w:r>
        <w:t xml:space="preserve">Vuodeosasto: Irtisanouitumista , rekrytointiongelmia. Paikkoja jouduttu supistamaan. Meillä ei toki ole tk vuodeosastoa vaan tehostettua palveluasumista (Askola)</w:t>
      </w:r>
    </w:p>
    <w:p>
      <w:pPr>
        <w:numPr>
          <w:ilvl w:val="0"/>
          <w:numId w:val="1006"/>
        </w:numPr>
        <w:pStyle w:val="Compact"/>
      </w:pPr>
      <w:r>
        <w:t xml:space="preserve">Kuntoutus: Pitkä sairasloma pahentaa tilanetta (Askola)</w:t>
      </w:r>
    </w:p>
    <w:p>
      <w:pPr>
        <w:numPr>
          <w:ilvl w:val="0"/>
          <w:numId w:val="1006"/>
        </w:numPr>
        <w:pStyle w:val="Compact"/>
      </w:pPr>
      <w:r>
        <w:t xml:space="preserve">Suun th:</w:t>
      </w:r>
    </w:p>
    <w:p>
      <w:pPr>
        <w:numPr>
          <w:ilvl w:val="0"/>
          <w:numId w:val="1006"/>
        </w:numPr>
        <w:pStyle w:val="Compact"/>
      </w:pPr>
      <w:r>
        <w:t xml:space="preserve">Päihdetyö:</w:t>
      </w:r>
    </w:p>
    <w:bookmarkEnd w:id="27"/>
    <w:bookmarkStart w:id="28" w:name="X8e4922826d0933b2db87a49a060372571dba3a5"/>
    <w:p>
      <w:pPr>
        <w:pStyle w:val="Heading5"/>
      </w:pPr>
      <w:r>
        <w:t xml:space="preserve">Rokotusten, testausten ja tartunnanjäljityksen henkilöstön riittävyys</w:t>
      </w:r>
    </w:p>
    <w:p>
      <w:pPr>
        <w:numPr>
          <w:ilvl w:val="0"/>
          <w:numId w:val="1007"/>
        </w:numPr>
        <w:pStyle w:val="Compact"/>
      </w:pPr>
      <w:r>
        <w:t xml:space="preserve">Rokotukset: rokottajia saadaan alkaviin massarokotustapahtumiin omasta muusta toiminnasta, mikä tulee vaikuttamaan merkittävästi kiireettömään avopalveluun (Keski-Uudenmaan sote -kuntayhtymä Keusote)</w:t>
      </w:r>
    </w:p>
    <w:p>
      <w:pPr>
        <w:numPr>
          <w:ilvl w:val="0"/>
          <w:numId w:val="1007"/>
        </w:numPr>
        <w:pStyle w:val="Compact"/>
      </w:pPr>
      <w:r>
        <w:t xml:space="preserve">Testaukset: HUSLABin vastuulla (Helsinki), HUSn toimintaa (Raasepori)</w:t>
      </w:r>
    </w:p>
    <w:p>
      <w:pPr>
        <w:numPr>
          <w:ilvl w:val="0"/>
          <w:numId w:val="1007"/>
        </w:numPr>
        <w:pStyle w:val="Compact"/>
      </w:pPr>
      <w:r>
        <w:t xml:space="preserve">Jäljitys: uusia jäljittäjiä saadaan jkv vuoden vaihteen jälkeen (Keski-Uudenmaan sote -kuntayhtymä Keusote), Omikron tekee tämän kohta mahdottomaksi (Askola), jäljitys raskasta ja kuormittavaa, monet tekevät oto (Raasepori)</w:t>
      </w:r>
    </w:p>
    <w:bookmarkEnd w:id="28"/>
    <w:bookmarkStart w:id="29" w:name="Xcb4aa6f47a20a9a88472ed14403c2b82dcd5eed"/>
    <w:p>
      <w:pPr>
        <w:pStyle w:val="Heading5"/>
      </w:pPr>
      <w:r>
        <w:t xml:space="preserve">Rajat ylittävän matkustajaliikenteen terveydenhuoltohenkilöstön riittävyys</w:t>
      </w:r>
    </w:p>
    <w:p>
      <w:pPr>
        <w:numPr>
          <w:ilvl w:val="0"/>
          <w:numId w:val="1008"/>
        </w:numPr>
        <w:pStyle w:val="Compact"/>
      </w:pPr>
      <w:r>
        <w:t xml:space="preserve">Neuvonta: ei ole Keusoten toimintaa (Keski-Uudenmaan sote -kuntayhtymä Keusote)</w:t>
      </w:r>
    </w:p>
    <w:p>
      <w:pPr>
        <w:numPr>
          <w:ilvl w:val="0"/>
          <w:numId w:val="1008"/>
        </w:numPr>
        <w:pStyle w:val="Compact"/>
      </w:pPr>
      <w:r>
        <w:t xml:space="preserve">Todistukset: ei ole Keusoten toimintaa (Keski-Uudenmaan sote -kuntayhtymä Keusote)</w:t>
      </w:r>
    </w:p>
    <w:p>
      <w:pPr>
        <w:numPr>
          <w:ilvl w:val="0"/>
          <w:numId w:val="1008"/>
        </w:numPr>
        <w:pStyle w:val="Compact"/>
      </w:pPr>
      <w:r>
        <w:t xml:space="preserve">Testaus: ei ole Keusoten toimintaa (Keski-Uudenmaan sote -kuntayhtymä Keusote), HUSLABin vastuulla (Helsinki)</w:t>
      </w:r>
    </w:p>
    <w:p>
      <w:pPr>
        <w:numPr>
          <w:ilvl w:val="0"/>
          <w:numId w:val="1008"/>
        </w:numPr>
        <w:pStyle w:val="Compact"/>
      </w:pPr>
      <w:r>
        <w:t xml:space="preserve">2-testi: ei ole Keusoten toimintaa (Keski-Uudenmaan sote -kuntayhtymä Keusote), HUSLABin vastuulla (Helsinki)</w:t>
      </w:r>
    </w:p>
    <w:bookmarkEnd w:id="29"/>
    <w:bookmarkEnd w:id="30"/>
    <w:bookmarkStart w:id="33" w:name="sosiaalihuolto"/>
    <w:p>
      <w:pPr>
        <w:pStyle w:val="Heading3"/>
      </w:pPr>
      <w:r>
        <w:t xml:space="preserve">Sosiaalihuolto</w:t>
      </w:r>
    </w:p>
    <w:bookmarkStart w:id="31" w:name="palvelujen-saatavuus-2"/>
    <w:p>
      <w:pPr>
        <w:pStyle w:val="Heading5"/>
      </w:pPr>
      <w:r>
        <w:t xml:space="preserve">Palvelujen saatavuus</w:t>
      </w:r>
    </w:p>
    <w:p>
      <w:pPr>
        <w:numPr>
          <w:ilvl w:val="0"/>
          <w:numId w:val="1009"/>
        </w:numPr>
        <w:pStyle w:val="Compact"/>
      </w:pPr>
      <w:r>
        <w:t xml:space="preserve">Iäkkäiden kotipalvelut:</w:t>
      </w:r>
    </w:p>
    <w:p>
      <w:pPr>
        <w:numPr>
          <w:ilvl w:val="0"/>
          <w:numId w:val="1009"/>
        </w:numPr>
        <w:pStyle w:val="Compact"/>
      </w:pPr>
      <w:r>
        <w:t xml:space="preserve">Iäkkäiden ympärivuorokautiset palvelut:</w:t>
      </w:r>
    </w:p>
    <w:p>
      <w:pPr>
        <w:numPr>
          <w:ilvl w:val="0"/>
          <w:numId w:val="1009"/>
        </w:numPr>
        <w:pStyle w:val="Compact"/>
      </w:pPr>
      <w:r>
        <w:t xml:space="preserve">Vammaispalvelut:</w:t>
      </w:r>
    </w:p>
    <w:p>
      <w:pPr>
        <w:numPr>
          <w:ilvl w:val="0"/>
          <w:numId w:val="1009"/>
        </w:numPr>
        <w:pStyle w:val="Compact"/>
      </w:pPr>
      <w:r>
        <w:t xml:space="preserve">Työikäisten palvelut:</w:t>
      </w:r>
    </w:p>
    <w:p>
      <w:pPr>
        <w:numPr>
          <w:ilvl w:val="0"/>
          <w:numId w:val="1009"/>
        </w:numPr>
        <w:pStyle w:val="Compact"/>
      </w:pPr>
      <w:r>
        <w:t xml:space="preserve">Toimeentulotuki:</w:t>
      </w:r>
    </w:p>
    <w:p>
      <w:pPr>
        <w:numPr>
          <w:ilvl w:val="0"/>
          <w:numId w:val="1009"/>
        </w:numPr>
        <w:pStyle w:val="Compact"/>
      </w:pPr>
      <w:r>
        <w:t xml:space="preserve">Tilapäinen asuminen:</w:t>
      </w:r>
    </w:p>
    <w:p>
      <w:pPr>
        <w:numPr>
          <w:ilvl w:val="0"/>
          <w:numId w:val="1009"/>
        </w:numPr>
        <w:pStyle w:val="Compact"/>
      </w:pPr>
      <w:r>
        <w:t xml:space="preserve">Sosiaalipäivystys:</w:t>
      </w:r>
    </w:p>
    <w:p>
      <w:pPr>
        <w:numPr>
          <w:ilvl w:val="0"/>
          <w:numId w:val="1009"/>
        </w:numPr>
        <w:pStyle w:val="Compact"/>
      </w:pPr>
      <w:r>
        <w:t xml:space="preserve">Päihdetyö:</w:t>
      </w:r>
    </w:p>
    <w:p>
      <w:pPr>
        <w:numPr>
          <w:ilvl w:val="0"/>
          <w:numId w:val="1009"/>
        </w:numPr>
        <w:pStyle w:val="Compact"/>
      </w:pPr>
      <w:r>
        <w:t xml:space="preserve">Omaishoitajien palvelut:</w:t>
      </w:r>
    </w:p>
    <w:bookmarkEnd w:id="31"/>
    <w:bookmarkStart w:id="32" w:name="henkilöstön-riittävyys-2"/>
    <w:p>
      <w:pPr>
        <w:pStyle w:val="Heading5"/>
      </w:pPr>
      <w:r>
        <w:t xml:space="preserve">Henkilöstön riittävyys</w:t>
      </w:r>
    </w:p>
    <w:p>
      <w:pPr>
        <w:numPr>
          <w:ilvl w:val="0"/>
          <w:numId w:val="1010"/>
        </w:numPr>
        <w:pStyle w:val="Compact"/>
      </w:pPr>
      <w:r>
        <w:t xml:space="preserve">Iäkkäiden kotipalvelut:</w:t>
      </w:r>
    </w:p>
    <w:p>
      <w:pPr>
        <w:numPr>
          <w:ilvl w:val="0"/>
          <w:numId w:val="1010"/>
        </w:numPr>
        <w:pStyle w:val="Compact"/>
      </w:pPr>
      <w:r>
        <w:t xml:space="preserve">Iäkkäiden ympärivuorokautiset palvelut:</w:t>
      </w:r>
    </w:p>
    <w:p>
      <w:pPr>
        <w:numPr>
          <w:ilvl w:val="0"/>
          <w:numId w:val="1010"/>
        </w:numPr>
        <w:pStyle w:val="Compact"/>
      </w:pPr>
      <w:r>
        <w:t xml:space="preserve">Vammaispalvelut:</w:t>
      </w:r>
    </w:p>
    <w:p>
      <w:pPr>
        <w:numPr>
          <w:ilvl w:val="0"/>
          <w:numId w:val="1010"/>
        </w:numPr>
        <w:pStyle w:val="Compact"/>
      </w:pPr>
      <w:r>
        <w:t xml:space="preserve">Työikäisten palvelut:</w:t>
      </w:r>
    </w:p>
    <w:p>
      <w:pPr>
        <w:numPr>
          <w:ilvl w:val="0"/>
          <w:numId w:val="1010"/>
        </w:numPr>
        <w:pStyle w:val="Compact"/>
      </w:pPr>
      <w:r>
        <w:t xml:space="preserve">Toimeentulotuki:</w:t>
      </w:r>
    </w:p>
    <w:p>
      <w:pPr>
        <w:numPr>
          <w:ilvl w:val="0"/>
          <w:numId w:val="1010"/>
        </w:numPr>
        <w:pStyle w:val="Compact"/>
      </w:pPr>
      <w:r>
        <w:t xml:space="preserve">Tilapäinen asuminen:</w:t>
      </w:r>
    </w:p>
    <w:p>
      <w:pPr>
        <w:numPr>
          <w:ilvl w:val="0"/>
          <w:numId w:val="1010"/>
        </w:numPr>
        <w:pStyle w:val="Compact"/>
      </w:pPr>
      <w:r>
        <w:t xml:space="preserve">Sosiaalipäivystys:</w:t>
      </w:r>
    </w:p>
    <w:p>
      <w:pPr>
        <w:numPr>
          <w:ilvl w:val="0"/>
          <w:numId w:val="1010"/>
        </w:numPr>
        <w:pStyle w:val="Compact"/>
      </w:pPr>
      <w:r>
        <w:t xml:space="preserve">Päihdetyö:</w:t>
      </w:r>
    </w:p>
    <w:p>
      <w:pPr>
        <w:numPr>
          <w:ilvl w:val="0"/>
          <w:numId w:val="1010"/>
        </w:numPr>
        <w:pStyle w:val="Compact"/>
      </w:pPr>
      <w:r>
        <w:t xml:space="preserve">Omaishoitajien palvelut:</w:t>
      </w:r>
    </w:p>
    <w:bookmarkEnd w:id="32"/>
    <w:bookmarkEnd w:id="33"/>
    <w:bookmarkEnd w:id="34"/>
    <w:bookmarkEnd w:id="35"/>
    <w:bookmarkStart w:id="43" w:name="X210a00b23b95ddcfa4934696a7e0dc6cf8182ca"/>
    <w:p>
      <w:pPr>
        <w:pStyle w:val="Heading1"/>
      </w:pPr>
      <w:r>
        <w:t xml:space="preserve">Tilannekuvakysely koronavirusepidemian vaikutuksista lasten, nuorten ja perheiden palvelujärjestelmään</w:t>
      </w:r>
    </w:p>
    <w:bookmarkStart w:id="36" w:name="nopea-yhteenveto-1"/>
    <w:p>
      <w:pPr>
        <w:pStyle w:val="Heading5"/>
      </w:pPr>
      <w:r>
        <w:t xml:space="preserve">Nopea yhteenveto:</w:t>
      </w:r>
    </w:p>
    <w:bookmarkEnd w:id="36"/>
    <w:bookmarkStart w:id="39" w:name="perusterveydenhuolto-1"/>
    <w:p>
      <w:pPr>
        <w:pStyle w:val="Heading3"/>
      </w:pPr>
      <w:r>
        <w:t xml:space="preserve">Perusterveydenhuolto</w:t>
      </w:r>
    </w:p>
    <w:bookmarkStart w:id="37" w:name="palvelujen-saatavuus-3"/>
    <w:p>
      <w:pPr>
        <w:pStyle w:val="Heading5"/>
      </w:pPr>
      <w:r>
        <w:t xml:space="preserve">Palvelujen saatavuus</w:t>
      </w:r>
    </w:p>
    <w:p>
      <w:pPr>
        <w:numPr>
          <w:ilvl w:val="0"/>
          <w:numId w:val="1011"/>
        </w:numPr>
        <w:pStyle w:val="Compact"/>
      </w:pPr>
      <w:r>
        <w:t xml:space="preserve">Neuvolat:</w:t>
      </w:r>
    </w:p>
    <w:p>
      <w:pPr>
        <w:numPr>
          <w:ilvl w:val="0"/>
          <w:numId w:val="1011"/>
        </w:numPr>
        <w:pStyle w:val="Compact"/>
      </w:pPr>
      <w:r>
        <w:t xml:space="preserve">Kouluterveydenhuolto: Kouluterveydenhoitajan sairasloman takia, mikä ei liity valitsevaan pandemiaan. (Askola)</w:t>
      </w:r>
    </w:p>
    <w:p>
      <w:pPr>
        <w:numPr>
          <w:ilvl w:val="0"/>
          <w:numId w:val="1011"/>
        </w:numPr>
        <w:pStyle w:val="Compact"/>
      </w:pPr>
      <w:r>
        <w:t xml:space="preserve">Opiskeluterveydenhuolto: Sama hoitaja (Askola)</w:t>
      </w:r>
    </w:p>
    <w:bookmarkEnd w:id="37"/>
    <w:bookmarkStart w:id="38" w:name="henkilöstön-riittävyys-3"/>
    <w:p>
      <w:pPr>
        <w:pStyle w:val="Heading5"/>
      </w:pPr>
      <w:r>
        <w:t xml:space="preserve">Henkilöstön riittävyys</w:t>
      </w:r>
    </w:p>
    <w:p>
      <w:pPr>
        <w:numPr>
          <w:ilvl w:val="0"/>
          <w:numId w:val="1012"/>
        </w:numPr>
        <w:pStyle w:val="Compact"/>
      </w:pPr>
      <w:r>
        <w:t xml:space="preserve">Neuvolat:</w:t>
      </w:r>
    </w:p>
    <w:p>
      <w:pPr>
        <w:numPr>
          <w:ilvl w:val="0"/>
          <w:numId w:val="1012"/>
        </w:numPr>
        <w:pStyle w:val="Compact"/>
      </w:pPr>
      <w:r>
        <w:t xml:space="preserve">Kouluterveydenhuolto:</w:t>
      </w:r>
    </w:p>
    <w:p>
      <w:pPr>
        <w:numPr>
          <w:ilvl w:val="0"/>
          <w:numId w:val="1012"/>
        </w:numPr>
        <w:pStyle w:val="Compact"/>
      </w:pPr>
      <w:r>
        <w:t xml:space="preserve">Opiskeluterveydenhuolto:</w:t>
      </w:r>
    </w:p>
    <w:bookmarkEnd w:id="38"/>
    <w:bookmarkEnd w:id="39"/>
    <w:bookmarkStart w:id="42" w:name="sosiaalihuolto-1"/>
    <w:p>
      <w:pPr>
        <w:pStyle w:val="Heading3"/>
      </w:pPr>
      <w:r>
        <w:t xml:space="preserve">Sosiaalihuolto</w:t>
      </w:r>
    </w:p>
    <w:bookmarkStart w:id="40" w:name="palvelujen-saatavuus-4"/>
    <w:p>
      <w:pPr>
        <w:pStyle w:val="Heading5"/>
      </w:pPr>
      <w:r>
        <w:t xml:space="preserve">Palvelujen saatavuus</w:t>
      </w:r>
    </w:p>
    <w:p>
      <w:pPr>
        <w:numPr>
          <w:ilvl w:val="0"/>
          <w:numId w:val="1013"/>
        </w:numPr>
        <w:pStyle w:val="Compact"/>
      </w:pPr>
      <w:r>
        <w:t xml:space="preserve">Lapsiperheiden palvelut:</w:t>
      </w:r>
    </w:p>
    <w:p>
      <w:pPr>
        <w:numPr>
          <w:ilvl w:val="0"/>
          <w:numId w:val="1013"/>
        </w:numPr>
        <w:pStyle w:val="Compact"/>
      </w:pPr>
      <w:r>
        <w:t xml:space="preserve">Lastensuojelu:</w:t>
      </w:r>
    </w:p>
    <w:p>
      <w:pPr>
        <w:numPr>
          <w:ilvl w:val="0"/>
          <w:numId w:val="1013"/>
        </w:numPr>
        <w:pStyle w:val="Compact"/>
      </w:pPr>
      <w:r>
        <w:t xml:space="preserve">Perheoikeudelliset palvelut:</w:t>
      </w:r>
    </w:p>
    <w:bookmarkEnd w:id="40"/>
    <w:bookmarkStart w:id="41" w:name="henkilöstön-riittävyys-4"/>
    <w:p>
      <w:pPr>
        <w:pStyle w:val="Heading5"/>
      </w:pPr>
      <w:r>
        <w:t xml:space="preserve">Henkilöstön riittävyys</w:t>
      </w:r>
    </w:p>
    <w:p>
      <w:pPr>
        <w:numPr>
          <w:ilvl w:val="0"/>
          <w:numId w:val="1014"/>
        </w:numPr>
        <w:pStyle w:val="Compact"/>
      </w:pPr>
      <w:r>
        <w:t xml:space="preserve">Lapsiperheiden palvelut:</w:t>
      </w:r>
    </w:p>
    <w:p>
      <w:pPr>
        <w:numPr>
          <w:ilvl w:val="0"/>
          <w:numId w:val="1014"/>
        </w:numPr>
        <w:pStyle w:val="Compact"/>
      </w:pPr>
      <w:r>
        <w:t xml:space="preserve">Lastensuojelu:</w:t>
      </w:r>
    </w:p>
    <w:p>
      <w:pPr>
        <w:numPr>
          <w:ilvl w:val="0"/>
          <w:numId w:val="1014"/>
        </w:numPr>
        <w:pStyle w:val="Compact"/>
      </w:pPr>
      <w:r>
        <w:t xml:space="preserve">Perheoikeudelliset palvelut:</w:t>
      </w:r>
    </w:p>
    <w:bookmarkEnd w:id="41"/>
    <w:bookmarkEnd w:id="42"/>
    <w:bookmarkEnd w:id="43"/>
    <w:bookmarkStart w:id="45" w:name="X0914ebabac060f49c01d62cd90ce3d32b4c7a8e"/>
    <w:p>
      <w:pPr>
        <w:pStyle w:val="Heading1"/>
      </w:pPr>
      <w:r>
        <w:t xml:space="preserve">Tilannekuvakysely koronavirusepidemian vaikutuksista mielenterveyspalveluihin</w:t>
      </w:r>
    </w:p>
    <w:bookmarkStart w:id="44" w:name="X2565dd709f14caf49c5948d36c771895e90607a"/>
    <w:p>
      <w:pPr>
        <w:pStyle w:val="Heading5"/>
      </w:pPr>
      <w:r>
        <w:t xml:space="preserve">raportoidaan seuraavan koonnin yhteydessä</w:t>
      </w:r>
    </w:p>
    <w:bookmarkEnd w:id="44"/>
    <w:bookmarkEnd w:id="45"/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000000"/>
      <w:sz w:val="28"/>
      <w:szCs w:val="28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000000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000000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000000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LibreOffice/6.0.7.3$Linux_X86_64 LibreOffice_project/00m0$Build-3</Application>
  <Pages>5</Pages>
  <Words>761</Words>
  <Characters>6779</Characters>
  <CharactersWithSpaces>7398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2022-01-14T12:45:07Z</dcterms:created>
  <dcterms:modified xsi:type="dcterms:W3CDTF">2022-01-14T12:45:07Z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params">
    <vt:lpwstr/>
  </property>
</Properties>
</file>