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257919" w14:textId="7092269A" w:rsidR="0076096F" w:rsidRPr="0076096F" w:rsidRDefault="0076096F" w:rsidP="0076096F">
      <w:pPr>
        <w:spacing w:line="450" w:lineRule="atLeast"/>
        <w:outlineLvl w:val="0"/>
        <w:rPr>
          <w:rFonts w:ascii="Helvetica Neue" w:eastAsia="Times New Roman" w:hAnsi="Helvetica Neue" w:cs="Times New Roman"/>
          <w:b/>
          <w:bCs/>
          <w:color w:val="1B1B1B"/>
          <w:kern w:val="36"/>
          <w:sz w:val="36"/>
          <w:szCs w:val="36"/>
          <w14:ligatures w14:val="none"/>
        </w:rPr>
      </w:pPr>
    </w:p>
    <w:tbl>
      <w:tblPr>
        <w:tblW w:w="999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7"/>
        <w:gridCol w:w="4413"/>
        <w:gridCol w:w="2700"/>
      </w:tblGrid>
      <w:tr w:rsidR="0076096F" w:rsidRPr="0076096F" w14:paraId="153AC4AF" w14:textId="77777777" w:rsidTr="006C7DF9">
        <w:trPr>
          <w:tblHeader/>
          <w:tblCellSpacing w:w="15" w:type="dxa"/>
        </w:trPr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39A3AA18" w14:textId="77777777" w:rsidR="0076096F" w:rsidRPr="0076096F" w:rsidRDefault="0076096F" w:rsidP="0076096F">
            <w:pPr>
              <w:rPr>
                <w:rFonts w:ascii="Helvetica Neue" w:eastAsia="Times New Roman" w:hAnsi="Helvetica Neue" w:cs="Times New Roman"/>
                <w:color w:val="1B1B1B"/>
                <w:kern w:val="0"/>
                <w:sz w:val="36"/>
                <w:szCs w:val="36"/>
                <w14:ligatures w14:val="none"/>
              </w:rPr>
            </w:pPr>
          </w:p>
        </w:tc>
        <w:tc>
          <w:tcPr>
            <w:tcW w:w="4383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56C137DB" w14:textId="77777777" w:rsidR="0076096F" w:rsidRPr="0076096F" w:rsidRDefault="0076096F" w:rsidP="0076096F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Exposure definition</w:t>
            </w:r>
          </w:p>
        </w:tc>
        <w:tc>
          <w:tcPr>
            <w:tcW w:w="2655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4D889DEE" w14:textId="151DEC11" w:rsidR="0076096F" w:rsidRPr="0076096F" w:rsidRDefault="0076096F" w:rsidP="0076096F">
            <w:pP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TMREL</w:t>
            </w:r>
          </w:p>
        </w:tc>
      </w:tr>
      <w:tr w:rsidR="0076096F" w:rsidRPr="0076096F" w14:paraId="274FCD1D" w14:textId="77777777" w:rsidTr="006C7DF9">
        <w:trPr>
          <w:tblHeader/>
          <w:tblCellSpacing w:w="15" w:type="dxa"/>
        </w:trPr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0A982147" w14:textId="77777777" w:rsidR="0076096F" w:rsidRPr="0076096F" w:rsidRDefault="0076096F" w:rsidP="0076096F">
            <w:pPr>
              <w:spacing w:before="45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</w:tc>
        <w:tc>
          <w:tcPr>
            <w:tcW w:w="4383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09416103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55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2C3356C1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76096F" w:rsidRPr="0076096F" w14:paraId="1724F47D" w14:textId="77777777" w:rsidTr="006C7DF9">
        <w:trPr>
          <w:tblCellSpacing w:w="15" w:type="dxa"/>
        </w:trPr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3B7CAC59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All risk factors</w:t>
            </w:r>
          </w:p>
        </w:tc>
        <w:tc>
          <w:tcPr>
            <w:tcW w:w="4383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38ECB1DE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· ·</w:t>
            </w:r>
          </w:p>
        </w:tc>
        <w:tc>
          <w:tcPr>
            <w:tcW w:w="2655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6B705BD3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· ·</w:t>
            </w:r>
          </w:p>
        </w:tc>
      </w:tr>
      <w:tr w:rsidR="0076096F" w:rsidRPr="0076096F" w14:paraId="4AE06051" w14:textId="77777777" w:rsidTr="006C7DF9">
        <w:trPr>
          <w:tblCellSpacing w:w="15" w:type="dxa"/>
        </w:trPr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7FC40EB0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Environmental and occupational risks</w:t>
            </w:r>
          </w:p>
        </w:tc>
        <w:tc>
          <w:tcPr>
            <w:tcW w:w="4383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1F746762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· ·</w:t>
            </w:r>
          </w:p>
        </w:tc>
        <w:tc>
          <w:tcPr>
            <w:tcW w:w="2655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4FAECE60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· ·</w:t>
            </w:r>
          </w:p>
        </w:tc>
      </w:tr>
      <w:tr w:rsidR="0076096F" w:rsidRPr="0076096F" w14:paraId="2C22D414" w14:textId="77777777" w:rsidTr="006C7DF9">
        <w:trPr>
          <w:tblCellSpacing w:w="15" w:type="dxa"/>
        </w:trPr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1CDBD3D4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</w:t>
            </w:r>
            <w:r w:rsidRPr="0076096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Unsafe water, sanitation,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 and handwashing</w:t>
            </w:r>
          </w:p>
        </w:tc>
        <w:tc>
          <w:tcPr>
            <w:tcW w:w="4383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385A1BAC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655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73E45D0A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76096F" w:rsidRPr="0076096F" w14:paraId="163B1DFB" w14:textId="77777777" w:rsidTr="006C7DF9">
        <w:trPr>
          <w:tblCellSpacing w:w="15" w:type="dxa"/>
        </w:trPr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4F2EE067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Unsafe water source</w:t>
            </w:r>
          </w:p>
        </w:tc>
        <w:tc>
          <w:tcPr>
            <w:tcW w:w="4383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5463A0CA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Proportion of households with access to different water sources (unimproved, improved except piped, piped water supply) and reported use of household water treatment methods (boiling or filtering; chlorinating or solar filtering; no treatment)</w:t>
            </w:r>
          </w:p>
        </w:tc>
        <w:tc>
          <w:tcPr>
            <w:tcW w:w="2655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0D1C4944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 households have access to water from a piped water supply that is also boiled or filtered before drinking</w:t>
            </w:r>
          </w:p>
        </w:tc>
      </w:tr>
      <w:tr w:rsidR="0076096F" w:rsidRPr="0076096F" w14:paraId="4425291F" w14:textId="77777777" w:rsidTr="006C7DF9">
        <w:trPr>
          <w:tblCellSpacing w:w="15" w:type="dxa"/>
        </w:trPr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74F9ED4A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Unsafe sanitation</w:t>
            </w:r>
          </w:p>
        </w:tc>
        <w:tc>
          <w:tcPr>
            <w:tcW w:w="4383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3311182F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Proportion of households with access to different sanitation facilities (unimproved, improved except sewer, sewer connection)</w:t>
            </w:r>
          </w:p>
        </w:tc>
        <w:tc>
          <w:tcPr>
            <w:tcW w:w="2655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31D996EC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 households have access to toilets with sewer connection</w:t>
            </w:r>
          </w:p>
        </w:tc>
      </w:tr>
      <w:tr w:rsidR="0076096F" w:rsidRPr="0076096F" w14:paraId="4941549E" w14:textId="77777777" w:rsidTr="006C7DF9">
        <w:trPr>
          <w:tblCellSpacing w:w="15" w:type="dxa"/>
        </w:trPr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60A76EBD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handwashing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with soap</w:t>
            </w:r>
          </w:p>
        </w:tc>
        <w:tc>
          <w:tcPr>
            <w:tcW w:w="4383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125038C2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Proportion of individuals who wash their hands with soap and water after potential </w:t>
            </w:r>
            <w:proofErr w:type="spellStart"/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faecal</w:t>
            </w:r>
            <w:proofErr w:type="spellEnd"/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contact</w:t>
            </w:r>
          </w:p>
        </w:tc>
        <w:tc>
          <w:tcPr>
            <w:tcW w:w="2655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2A9E13C4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All individuals wash hands with soap and water after potential </w:t>
            </w:r>
            <w:proofErr w:type="spellStart"/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faecal</w:t>
            </w:r>
            <w:proofErr w:type="spellEnd"/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contact</w:t>
            </w:r>
          </w:p>
        </w:tc>
      </w:tr>
      <w:tr w:rsidR="0076096F" w:rsidRPr="0076096F" w14:paraId="2526B509" w14:textId="77777777" w:rsidTr="006C7DF9">
        <w:trPr>
          <w:tblCellSpacing w:w="15" w:type="dxa"/>
        </w:trPr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6A582011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</w:t>
            </w:r>
            <w:r w:rsidRPr="0076096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Air pollution</w:t>
            </w:r>
          </w:p>
        </w:tc>
        <w:tc>
          <w:tcPr>
            <w:tcW w:w="4383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51D310E1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655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293B6660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76096F" w:rsidRPr="0076096F" w14:paraId="2542B8ED" w14:textId="77777777" w:rsidTr="006C7DF9">
        <w:trPr>
          <w:tblCellSpacing w:w="15" w:type="dxa"/>
        </w:trPr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58FBD995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Ambient particulate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matter pollution</w:t>
            </w:r>
          </w:p>
        </w:tc>
        <w:tc>
          <w:tcPr>
            <w:tcW w:w="4383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50D715A0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Annual average daily exposure to outdoor air concentrations of particulate matter (PM) with an aerodynamic diameter smaller than 2·5 </w:t>
            </w:r>
            <w:proofErr w:type="spellStart"/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μm</w:t>
            </w:r>
            <w:proofErr w:type="spellEnd"/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measured in </w:t>
            </w:r>
            <w:proofErr w:type="spellStart"/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μg</w:t>
            </w:r>
            <w:proofErr w:type="spellEnd"/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/m</w:t>
            </w:r>
            <w:r w:rsidRPr="0076096F">
              <w:rPr>
                <w:rFonts w:ascii="revert" w:eastAsia="Times New Roman" w:hAnsi="revert" w:cs="Times New Roman"/>
                <w:kern w:val="0"/>
                <w:sz w:val="20"/>
                <w:szCs w:val="20"/>
                <w:vertAlign w:val="superscript"/>
                <w14:ligatures w14:val="none"/>
              </w:rPr>
              <w:t>3</w:t>
            </w:r>
          </w:p>
        </w:tc>
        <w:tc>
          <w:tcPr>
            <w:tcW w:w="2655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66657590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Uniform distribution between 5·9 </w:t>
            </w:r>
            <w:proofErr w:type="spellStart"/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μg</w:t>
            </w:r>
            <w:proofErr w:type="spellEnd"/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/m</w:t>
            </w:r>
            <w:r w:rsidRPr="0076096F">
              <w:rPr>
                <w:rFonts w:ascii="revert" w:eastAsia="Times New Roman" w:hAnsi="revert" w:cs="Times New Roman"/>
                <w:kern w:val="0"/>
                <w:sz w:val="20"/>
                <w:szCs w:val="20"/>
                <w:vertAlign w:val="superscript"/>
                <w14:ligatures w14:val="none"/>
              </w:rPr>
              <w:t>3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 and 8·7 </w:t>
            </w:r>
            <w:proofErr w:type="spellStart"/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μg</w:t>
            </w:r>
            <w:proofErr w:type="spellEnd"/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/m</w:t>
            </w:r>
            <w:r w:rsidRPr="0076096F">
              <w:rPr>
                <w:rFonts w:ascii="revert" w:eastAsia="Times New Roman" w:hAnsi="revert" w:cs="Times New Roman"/>
                <w:kern w:val="0"/>
                <w:sz w:val="20"/>
                <w:szCs w:val="20"/>
                <w:vertAlign w:val="superscript"/>
                <w14:ligatures w14:val="none"/>
              </w:rPr>
              <w:t>3</w:t>
            </w:r>
          </w:p>
        </w:tc>
      </w:tr>
      <w:tr w:rsidR="0076096F" w:rsidRPr="0076096F" w14:paraId="57E58703" w14:textId="77777777" w:rsidTr="006C7DF9">
        <w:trPr>
          <w:tblCellSpacing w:w="15" w:type="dxa"/>
        </w:trPr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0BBD259C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Household air pollution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from solid fuels</w:t>
            </w:r>
          </w:p>
        </w:tc>
        <w:tc>
          <w:tcPr>
            <w:tcW w:w="4383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72587D0D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Annual average daily exposure to household concentrations of particulate matter (PM) with an aerodynamic diameter smaller than 2·5 </w:t>
            </w:r>
            <w:proofErr w:type="spellStart"/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μm</w:t>
            </w:r>
            <w:proofErr w:type="spellEnd"/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measured in </w:t>
            </w:r>
            <w:proofErr w:type="spellStart"/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μg</w:t>
            </w:r>
            <w:proofErr w:type="spellEnd"/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/m</w:t>
            </w:r>
            <w:r w:rsidRPr="0076096F">
              <w:rPr>
                <w:rFonts w:ascii="revert" w:eastAsia="Times New Roman" w:hAnsi="revert" w:cs="Times New Roman"/>
                <w:kern w:val="0"/>
                <w:sz w:val="20"/>
                <w:szCs w:val="20"/>
                <w:vertAlign w:val="superscript"/>
                <w14:ligatures w14:val="none"/>
              </w:rPr>
              <w:t>3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from solid fuel use (coal, wood, charcoal, dung, and agricultural residues)</w:t>
            </w:r>
          </w:p>
        </w:tc>
        <w:tc>
          <w:tcPr>
            <w:tcW w:w="2655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47C26272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No households are exposed to excess indoor concentration of particles from solid fuel use (assuming concentration of particulate matters, aerodynamic diameter smaller than 2·5 </w:t>
            </w:r>
            <w:proofErr w:type="spellStart"/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μg</w:t>
            </w:r>
            <w:proofErr w:type="spellEnd"/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/m</w:t>
            </w:r>
            <w:r w:rsidRPr="0076096F">
              <w:rPr>
                <w:rFonts w:ascii="revert" w:eastAsia="Times New Roman" w:hAnsi="revert" w:cs="Times New Roman"/>
                <w:kern w:val="0"/>
                <w:sz w:val="20"/>
                <w:szCs w:val="20"/>
                <w:vertAlign w:val="superscript"/>
                <w14:ligatures w14:val="none"/>
              </w:rPr>
              <w:t>3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measured in </w:t>
            </w:r>
            <w:proofErr w:type="spellStart"/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μg</w:t>
            </w:r>
            <w:proofErr w:type="spellEnd"/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/m</w:t>
            </w:r>
            <w:r w:rsidRPr="0076096F">
              <w:rPr>
                <w:rFonts w:ascii="revert" w:eastAsia="Times New Roman" w:hAnsi="revert" w:cs="Times New Roman"/>
                <w:kern w:val="0"/>
                <w:sz w:val="20"/>
                <w:szCs w:val="20"/>
                <w:vertAlign w:val="superscript"/>
                <w14:ligatures w14:val="none"/>
              </w:rPr>
              <w:t>3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in no fuel use is consistent with a TMREL of 5·9–8·7)</w:t>
            </w:r>
          </w:p>
        </w:tc>
      </w:tr>
      <w:tr w:rsidR="0076096F" w:rsidRPr="0076096F" w14:paraId="4A3B72DB" w14:textId="77777777" w:rsidTr="006C7DF9">
        <w:trPr>
          <w:tblCellSpacing w:w="15" w:type="dxa"/>
        </w:trPr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1B7965A5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Ambient ozone pollution</w:t>
            </w:r>
          </w:p>
        </w:tc>
        <w:tc>
          <w:tcPr>
            <w:tcW w:w="4383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1B3D1F78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Seasonal (3 month) hourly maximum ozone concentrations, measured in parts per billion (ppb)</w:t>
            </w:r>
          </w:p>
        </w:tc>
        <w:tc>
          <w:tcPr>
            <w:tcW w:w="2655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12ECFEBC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Uniform distribution between 33·3 </w:t>
            </w:r>
            <w:proofErr w:type="spellStart"/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μg</w:t>
            </w:r>
            <w:proofErr w:type="spellEnd"/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/m</w:t>
            </w:r>
            <w:r w:rsidRPr="0076096F">
              <w:rPr>
                <w:rFonts w:ascii="revert" w:eastAsia="Times New Roman" w:hAnsi="revert" w:cs="Times New Roman"/>
                <w:kern w:val="0"/>
                <w:sz w:val="20"/>
                <w:szCs w:val="20"/>
                <w:vertAlign w:val="superscript"/>
                <w14:ligatures w14:val="none"/>
              </w:rPr>
              <w:t>3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 and 41·9 </w:t>
            </w:r>
            <w:proofErr w:type="spellStart"/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μg</w:t>
            </w:r>
            <w:proofErr w:type="spellEnd"/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/m</w:t>
            </w:r>
            <w:r w:rsidRPr="0076096F">
              <w:rPr>
                <w:rFonts w:ascii="revert" w:eastAsia="Times New Roman" w:hAnsi="revert" w:cs="Times New Roman"/>
                <w:kern w:val="0"/>
                <w:sz w:val="20"/>
                <w:szCs w:val="20"/>
                <w:vertAlign w:val="superscript"/>
                <w14:ligatures w14:val="none"/>
              </w:rPr>
              <w:t>3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according to minimum/5th percentile concentrations</w:t>
            </w:r>
          </w:p>
        </w:tc>
      </w:tr>
      <w:tr w:rsidR="0076096F" w:rsidRPr="0076096F" w14:paraId="11CE21A2" w14:textId="77777777" w:rsidTr="006C7DF9">
        <w:trPr>
          <w:tblCellSpacing w:w="15" w:type="dxa"/>
        </w:trPr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65B2261B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Other environmental risks</w:t>
            </w:r>
          </w:p>
        </w:tc>
        <w:tc>
          <w:tcPr>
            <w:tcW w:w="4383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7E6CBEE2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655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2CE3E594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76096F" w:rsidRPr="0076096F" w14:paraId="45B86210" w14:textId="77777777" w:rsidTr="006C7DF9">
        <w:trPr>
          <w:tblCellSpacing w:w="15" w:type="dxa"/>
        </w:trPr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2BECEEC9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Residential radon</w:t>
            </w:r>
          </w:p>
        </w:tc>
        <w:tc>
          <w:tcPr>
            <w:tcW w:w="4383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3B9171EE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Average daily exposure to indoor air radon levels measured in becquerels (radon disintegrations per s) per cubic </w:t>
            </w:r>
            <w:proofErr w:type="spellStart"/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metre</w:t>
            </w:r>
            <w:proofErr w:type="spellEnd"/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</w:t>
            </w:r>
            <w:proofErr w:type="spellStart"/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Bq</w:t>
            </w:r>
            <w:proofErr w:type="spellEnd"/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/m</w:t>
            </w:r>
            <w:r w:rsidRPr="0076096F">
              <w:rPr>
                <w:rFonts w:ascii="revert" w:eastAsia="Times New Roman" w:hAnsi="revert" w:cs="Times New Roman"/>
                <w:kern w:val="0"/>
                <w:sz w:val="20"/>
                <w:szCs w:val="20"/>
                <w:vertAlign w:val="superscript"/>
                <w14:ligatures w14:val="none"/>
              </w:rPr>
              <w:t>3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2655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55CC9A4A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10 </w:t>
            </w:r>
            <w:proofErr w:type="spellStart"/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Bq</w:t>
            </w:r>
            <w:proofErr w:type="spellEnd"/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/m</w:t>
            </w:r>
            <w:r w:rsidRPr="0076096F">
              <w:rPr>
                <w:rFonts w:ascii="revert" w:eastAsia="Times New Roman" w:hAnsi="revert" w:cs="Times New Roman"/>
                <w:kern w:val="0"/>
                <w:sz w:val="20"/>
                <w:szCs w:val="20"/>
                <w:vertAlign w:val="superscript"/>
                <w14:ligatures w14:val="none"/>
              </w:rPr>
              <w:t>3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corresponding to the outdoor concentration of radon</w:t>
            </w:r>
          </w:p>
        </w:tc>
      </w:tr>
      <w:tr w:rsidR="0076096F" w:rsidRPr="0076096F" w14:paraId="4A536D6A" w14:textId="77777777" w:rsidTr="006C7DF9">
        <w:trPr>
          <w:tblCellSpacing w:w="15" w:type="dxa"/>
        </w:trPr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4D96DB4D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Lead exposure</w:t>
            </w:r>
          </w:p>
        </w:tc>
        <w:tc>
          <w:tcPr>
            <w:tcW w:w="4383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2F67EA7F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Blood </w:t>
            </w:r>
            <w:proofErr w:type="gramStart"/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lead</w:t>
            </w:r>
            <w:proofErr w:type="gramEnd"/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levels in </w:t>
            </w:r>
            <w:proofErr w:type="spellStart"/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μg</w:t>
            </w:r>
            <w:proofErr w:type="spellEnd"/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/dL of blood, bone lead levels in </w:t>
            </w:r>
            <w:proofErr w:type="spellStart"/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μg</w:t>
            </w:r>
            <w:proofErr w:type="spellEnd"/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/g of bone</w:t>
            </w:r>
          </w:p>
        </w:tc>
        <w:tc>
          <w:tcPr>
            <w:tcW w:w="2655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409BD597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2 </w:t>
            </w:r>
            <w:proofErr w:type="spellStart"/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μg</w:t>
            </w:r>
            <w:proofErr w:type="spellEnd"/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/dL, corresponding to lead levels in pre-industrial humans as natural sources of lead prevent the feasibility of zero exposure</w:t>
            </w:r>
          </w:p>
        </w:tc>
      </w:tr>
      <w:tr w:rsidR="0076096F" w:rsidRPr="0076096F" w14:paraId="30FB609E" w14:textId="77777777" w:rsidTr="006C7DF9">
        <w:trPr>
          <w:tblCellSpacing w:w="15" w:type="dxa"/>
        </w:trPr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7D994E00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</w:t>
            </w:r>
            <w:r w:rsidRPr="0076096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Occupational risks</w:t>
            </w:r>
          </w:p>
        </w:tc>
        <w:tc>
          <w:tcPr>
            <w:tcW w:w="4383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7D5255AD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655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5AADBB77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76096F" w:rsidRPr="0076096F" w14:paraId="12EF4659" w14:textId="77777777" w:rsidTr="006C7DF9">
        <w:trPr>
          <w:tblCellSpacing w:w="15" w:type="dxa"/>
        </w:trPr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36B64C6A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Occupational carcinogens</w:t>
            </w:r>
          </w:p>
        </w:tc>
        <w:tc>
          <w:tcPr>
            <w:tcW w:w="4383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0A9E4F22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· ·</w:t>
            </w:r>
          </w:p>
        </w:tc>
        <w:tc>
          <w:tcPr>
            <w:tcW w:w="2655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764E8FE8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· ·</w:t>
            </w:r>
          </w:p>
        </w:tc>
      </w:tr>
      <w:tr w:rsidR="0076096F" w:rsidRPr="0076096F" w14:paraId="77661C66" w14:textId="77777777" w:rsidTr="006C7DF9">
        <w:trPr>
          <w:tblCellSpacing w:w="15" w:type="dxa"/>
        </w:trPr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006A7CE8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Occupational exposure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 asbestos</w:t>
            </w:r>
          </w:p>
        </w:tc>
        <w:tc>
          <w:tcPr>
            <w:tcW w:w="4383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10468915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Proportion of the population with cumulative exposure to asbestos</w:t>
            </w:r>
          </w:p>
        </w:tc>
        <w:tc>
          <w:tcPr>
            <w:tcW w:w="2655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7D0591F7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occupational exposure to asbestos</w:t>
            </w:r>
          </w:p>
        </w:tc>
      </w:tr>
      <w:tr w:rsidR="0076096F" w:rsidRPr="0076096F" w14:paraId="10415647" w14:textId="77777777" w:rsidTr="006C7DF9">
        <w:trPr>
          <w:tblCellSpacing w:w="15" w:type="dxa"/>
        </w:trPr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235C59AF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Occupational exposure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 arsenic</w:t>
            </w:r>
          </w:p>
        </w:tc>
        <w:tc>
          <w:tcPr>
            <w:tcW w:w="4383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28E96651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Proportion of the population ever exposed to arsenic at work/through their occupation</w:t>
            </w:r>
          </w:p>
        </w:tc>
        <w:tc>
          <w:tcPr>
            <w:tcW w:w="2655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1D06FFCE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occupational exposure to arsenic</w:t>
            </w:r>
          </w:p>
        </w:tc>
      </w:tr>
      <w:tr w:rsidR="0076096F" w:rsidRPr="0076096F" w14:paraId="1BEF6B5F" w14:textId="77777777" w:rsidTr="006C7DF9">
        <w:trPr>
          <w:tblCellSpacing w:w="15" w:type="dxa"/>
        </w:trPr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35978A41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Occupational exposure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 benzene</w:t>
            </w:r>
          </w:p>
        </w:tc>
        <w:tc>
          <w:tcPr>
            <w:tcW w:w="4383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119FBCC1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Proportion of the population ever exposed to benzene at work/through their occupation</w:t>
            </w:r>
          </w:p>
        </w:tc>
        <w:tc>
          <w:tcPr>
            <w:tcW w:w="2655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3818E31F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occupational exposure to benzene</w:t>
            </w:r>
          </w:p>
        </w:tc>
      </w:tr>
      <w:tr w:rsidR="0076096F" w:rsidRPr="0076096F" w14:paraId="57ADEA03" w14:textId="77777777" w:rsidTr="006C7DF9">
        <w:trPr>
          <w:tblCellSpacing w:w="15" w:type="dxa"/>
        </w:trPr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4AF6E89D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Occupational exposure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 beryllium</w:t>
            </w:r>
          </w:p>
        </w:tc>
        <w:tc>
          <w:tcPr>
            <w:tcW w:w="4383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7D46A559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Proportion of the population ever exposed to beryllium at work/through their occupation</w:t>
            </w:r>
          </w:p>
        </w:tc>
        <w:tc>
          <w:tcPr>
            <w:tcW w:w="2655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1A425121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occupational exposure to beryllium</w:t>
            </w:r>
          </w:p>
        </w:tc>
      </w:tr>
      <w:tr w:rsidR="0076096F" w:rsidRPr="0076096F" w14:paraId="61F30D3C" w14:textId="77777777" w:rsidTr="006C7DF9">
        <w:trPr>
          <w:tblCellSpacing w:w="15" w:type="dxa"/>
        </w:trPr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45F74BB5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Occupational exposure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 cadmium</w:t>
            </w:r>
          </w:p>
        </w:tc>
        <w:tc>
          <w:tcPr>
            <w:tcW w:w="4383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3B2037B2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Proportion of the population ever exposed to cadmium at work/through their occupation</w:t>
            </w:r>
          </w:p>
        </w:tc>
        <w:tc>
          <w:tcPr>
            <w:tcW w:w="2655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5E057271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occupational exposure to cadmium</w:t>
            </w:r>
          </w:p>
        </w:tc>
      </w:tr>
      <w:tr w:rsidR="0076096F" w:rsidRPr="0076096F" w14:paraId="243BC62C" w14:textId="77777777" w:rsidTr="006C7DF9">
        <w:trPr>
          <w:tblCellSpacing w:w="15" w:type="dxa"/>
        </w:trPr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444F9EDF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Occupational exposure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 chromium</w:t>
            </w:r>
          </w:p>
        </w:tc>
        <w:tc>
          <w:tcPr>
            <w:tcW w:w="4383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3D8EB651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Proportion of the population ever exposed to chromium at work/through their occupation</w:t>
            </w:r>
          </w:p>
        </w:tc>
        <w:tc>
          <w:tcPr>
            <w:tcW w:w="2655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26F50B15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occupational exposure to chromium</w:t>
            </w:r>
          </w:p>
        </w:tc>
      </w:tr>
      <w:tr w:rsidR="0076096F" w:rsidRPr="0076096F" w14:paraId="5203C752" w14:textId="77777777" w:rsidTr="006C7DF9">
        <w:trPr>
          <w:tblCellSpacing w:w="15" w:type="dxa"/>
        </w:trPr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242E48D3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Occupational exposure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 diesel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engine exhaust</w:t>
            </w:r>
          </w:p>
        </w:tc>
        <w:tc>
          <w:tcPr>
            <w:tcW w:w="4383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1EAC7B08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Proportion of the population ever exposed to diesel engine exhaust at work/through their occupation</w:t>
            </w:r>
          </w:p>
        </w:tc>
        <w:tc>
          <w:tcPr>
            <w:tcW w:w="2655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59F8941B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occupational exposure to diesel engine exhaust</w:t>
            </w:r>
          </w:p>
        </w:tc>
      </w:tr>
      <w:tr w:rsidR="0076096F" w:rsidRPr="0076096F" w14:paraId="42DB1602" w14:textId="77777777" w:rsidTr="006C7DF9">
        <w:trPr>
          <w:tblCellSpacing w:w="15" w:type="dxa"/>
        </w:trPr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76027C30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Occupational exposure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 second-hand smoke</w:t>
            </w:r>
          </w:p>
        </w:tc>
        <w:tc>
          <w:tcPr>
            <w:tcW w:w="4383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586330C0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Proportion of the population ever exposed to second-hand smoke at work/through their occupation</w:t>
            </w:r>
          </w:p>
        </w:tc>
        <w:tc>
          <w:tcPr>
            <w:tcW w:w="2655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70522491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occupational exposure to second-hand smoke</w:t>
            </w:r>
          </w:p>
        </w:tc>
      </w:tr>
      <w:tr w:rsidR="0076096F" w:rsidRPr="0076096F" w14:paraId="6C7A7137" w14:textId="77777777" w:rsidTr="006C7DF9">
        <w:trPr>
          <w:tblCellSpacing w:w="15" w:type="dxa"/>
        </w:trPr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69E817FA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Occupational exposure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 formaldehyde</w:t>
            </w:r>
          </w:p>
        </w:tc>
        <w:tc>
          <w:tcPr>
            <w:tcW w:w="4383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07ECB614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Proportion of the population ever exposed to formaldehyde at work/through their occupation</w:t>
            </w:r>
          </w:p>
        </w:tc>
        <w:tc>
          <w:tcPr>
            <w:tcW w:w="2655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1F11D218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occupational exposure to formaldehyde</w:t>
            </w:r>
          </w:p>
        </w:tc>
      </w:tr>
      <w:tr w:rsidR="0076096F" w:rsidRPr="0076096F" w14:paraId="7B03E5B1" w14:textId="77777777" w:rsidTr="006C7DF9">
        <w:trPr>
          <w:tblCellSpacing w:w="15" w:type="dxa"/>
        </w:trPr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30564D95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Occupational exposure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 nickel</w:t>
            </w:r>
          </w:p>
        </w:tc>
        <w:tc>
          <w:tcPr>
            <w:tcW w:w="4383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79EB17AE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Proportion of the population ever exposed to nickel at work/through their occupation</w:t>
            </w:r>
          </w:p>
        </w:tc>
        <w:tc>
          <w:tcPr>
            <w:tcW w:w="2655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4AF86426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occupational exposure to nickel</w:t>
            </w:r>
          </w:p>
        </w:tc>
      </w:tr>
      <w:tr w:rsidR="0076096F" w:rsidRPr="0076096F" w14:paraId="58213C56" w14:textId="77777777" w:rsidTr="006C7DF9">
        <w:trPr>
          <w:tblCellSpacing w:w="15" w:type="dxa"/>
        </w:trPr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5F8FA13F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Occupational exposure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 polycyclic aromatic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hydrocarbons</w:t>
            </w:r>
          </w:p>
        </w:tc>
        <w:tc>
          <w:tcPr>
            <w:tcW w:w="4383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2429E819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Proportion of the population ever exposed to polycyclic aromatic hydrocarbons at work/through their occupation</w:t>
            </w:r>
          </w:p>
        </w:tc>
        <w:tc>
          <w:tcPr>
            <w:tcW w:w="2655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76B9C45F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occupational exposure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 polycyclic aromatic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hydrocarbons</w:t>
            </w:r>
          </w:p>
        </w:tc>
      </w:tr>
      <w:tr w:rsidR="0076096F" w:rsidRPr="0076096F" w14:paraId="135471D0" w14:textId="77777777" w:rsidTr="006C7DF9">
        <w:trPr>
          <w:tblCellSpacing w:w="15" w:type="dxa"/>
        </w:trPr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0E149BD1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Occupational exposure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 silica</w:t>
            </w:r>
          </w:p>
        </w:tc>
        <w:tc>
          <w:tcPr>
            <w:tcW w:w="4383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47AA5BF8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Proportion of the population ever exposed to silica at work/through their occupation</w:t>
            </w:r>
          </w:p>
        </w:tc>
        <w:tc>
          <w:tcPr>
            <w:tcW w:w="2655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6D971807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occupational exposure to silica</w:t>
            </w:r>
          </w:p>
        </w:tc>
      </w:tr>
      <w:tr w:rsidR="0076096F" w:rsidRPr="0076096F" w14:paraId="0D58F368" w14:textId="77777777" w:rsidTr="006C7DF9">
        <w:trPr>
          <w:tblCellSpacing w:w="15" w:type="dxa"/>
        </w:trPr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299F06F0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Occupational exposure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to </w:t>
            </w:r>
            <w:proofErr w:type="spellStart"/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sulphuric</w:t>
            </w:r>
            <w:proofErr w:type="spellEnd"/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acid</w:t>
            </w:r>
          </w:p>
        </w:tc>
        <w:tc>
          <w:tcPr>
            <w:tcW w:w="4383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54D9FEE0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Proportion of the population ever exposed to </w:t>
            </w:r>
            <w:proofErr w:type="spellStart"/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sulphuric</w:t>
            </w:r>
            <w:proofErr w:type="spellEnd"/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acid at work/through their occupation</w:t>
            </w:r>
          </w:p>
        </w:tc>
        <w:tc>
          <w:tcPr>
            <w:tcW w:w="2655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4A13C179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No occupational exposure to </w:t>
            </w:r>
            <w:proofErr w:type="spellStart"/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sulphuric</w:t>
            </w:r>
            <w:proofErr w:type="spellEnd"/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acid</w:t>
            </w:r>
          </w:p>
        </w:tc>
      </w:tr>
      <w:tr w:rsidR="0076096F" w:rsidRPr="0076096F" w14:paraId="3A87CDE4" w14:textId="77777777" w:rsidTr="006C7DF9">
        <w:trPr>
          <w:tblCellSpacing w:w="15" w:type="dxa"/>
        </w:trPr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287E888B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Occupational exposure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 trichloroethylene</w:t>
            </w:r>
          </w:p>
        </w:tc>
        <w:tc>
          <w:tcPr>
            <w:tcW w:w="4383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1948F2F9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Proportion of the population ever exposed to trichloroethylene at work/through their occupation</w:t>
            </w:r>
          </w:p>
        </w:tc>
        <w:tc>
          <w:tcPr>
            <w:tcW w:w="2655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1E9DEFF5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occupational exposure to trichloroethylene</w:t>
            </w:r>
          </w:p>
        </w:tc>
      </w:tr>
      <w:tr w:rsidR="0076096F" w:rsidRPr="0076096F" w14:paraId="08F252BE" w14:textId="77777777" w:rsidTr="006C7DF9">
        <w:trPr>
          <w:tblCellSpacing w:w="15" w:type="dxa"/>
        </w:trPr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06F27893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Occupational asthmagens</w:t>
            </w:r>
          </w:p>
        </w:tc>
        <w:tc>
          <w:tcPr>
            <w:tcW w:w="4383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1F086397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Proportion of the population currently exposed to asthmagens at work/through their occupation</w:t>
            </w:r>
          </w:p>
        </w:tc>
        <w:tc>
          <w:tcPr>
            <w:tcW w:w="2655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1FE15693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Background </w:t>
            </w:r>
            <w:proofErr w:type="spellStart"/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asthmagen</w:t>
            </w:r>
            <w:proofErr w:type="spellEnd"/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exposures</w:t>
            </w:r>
          </w:p>
        </w:tc>
      </w:tr>
      <w:tr w:rsidR="0076096F" w:rsidRPr="0076096F" w14:paraId="01E57F23" w14:textId="77777777" w:rsidTr="006C7DF9">
        <w:trPr>
          <w:tblCellSpacing w:w="15" w:type="dxa"/>
        </w:trPr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535CEA96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Occupational particulate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matter, gases, and fumes</w:t>
            </w:r>
          </w:p>
        </w:tc>
        <w:tc>
          <w:tcPr>
            <w:tcW w:w="4383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2EA052BC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Proportion of the population ever exposed to particulates, gases, or fumes at work/through their occupation</w:t>
            </w:r>
          </w:p>
        </w:tc>
        <w:tc>
          <w:tcPr>
            <w:tcW w:w="2655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5792D2C2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occupational exposure to particulates, gases, or fumes</w:t>
            </w:r>
          </w:p>
        </w:tc>
      </w:tr>
      <w:tr w:rsidR="0076096F" w:rsidRPr="0076096F" w14:paraId="0676CC02" w14:textId="77777777" w:rsidTr="006C7DF9">
        <w:trPr>
          <w:tblCellSpacing w:w="15" w:type="dxa"/>
        </w:trPr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5C4B1125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Occupational noise</w:t>
            </w:r>
          </w:p>
        </w:tc>
        <w:tc>
          <w:tcPr>
            <w:tcW w:w="4383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46DD9175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Proportion of the population ever exposed to noise greater than 85 decibels at work/through their occupation</w:t>
            </w:r>
          </w:p>
        </w:tc>
        <w:tc>
          <w:tcPr>
            <w:tcW w:w="2655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3D221E41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Background noise exposure</w:t>
            </w:r>
          </w:p>
        </w:tc>
      </w:tr>
      <w:tr w:rsidR="0076096F" w:rsidRPr="0076096F" w14:paraId="2DB88E13" w14:textId="77777777" w:rsidTr="006C7DF9">
        <w:trPr>
          <w:tblCellSpacing w:w="15" w:type="dxa"/>
        </w:trPr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167D2652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Occupational injuries</w:t>
            </w:r>
          </w:p>
        </w:tc>
        <w:tc>
          <w:tcPr>
            <w:tcW w:w="4383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5A33D71A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Proportion of the population at risk to injuries related to work/through their occupation</w:t>
            </w:r>
          </w:p>
        </w:tc>
        <w:tc>
          <w:tcPr>
            <w:tcW w:w="2655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11CFECF2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 rate of injury deaths per 100 000 person-years is zero</w:t>
            </w:r>
          </w:p>
        </w:tc>
      </w:tr>
      <w:tr w:rsidR="0076096F" w:rsidRPr="0076096F" w14:paraId="1ED37F1A" w14:textId="77777777" w:rsidTr="006C7DF9">
        <w:trPr>
          <w:tblCellSpacing w:w="15" w:type="dxa"/>
        </w:trPr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1C2F303E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Occupational ergonomic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factors</w:t>
            </w:r>
          </w:p>
        </w:tc>
        <w:tc>
          <w:tcPr>
            <w:tcW w:w="4383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595A7CFC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Proportion of the population who are exposed to ergonomic risk factors for low back pain at work/through their occupation</w:t>
            </w:r>
          </w:p>
        </w:tc>
        <w:tc>
          <w:tcPr>
            <w:tcW w:w="2655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7F79ADCE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 individuals have the ergonomic factors of clerical and related workers</w:t>
            </w:r>
          </w:p>
        </w:tc>
      </w:tr>
      <w:tr w:rsidR="0076096F" w:rsidRPr="0076096F" w14:paraId="4C170951" w14:textId="77777777" w:rsidTr="006C7DF9">
        <w:trPr>
          <w:tblCellSpacing w:w="15" w:type="dxa"/>
        </w:trPr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32BFDD7D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Behavioural risks</w:t>
            </w:r>
          </w:p>
        </w:tc>
        <w:tc>
          <w:tcPr>
            <w:tcW w:w="4383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05A0E479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· ·</w:t>
            </w:r>
          </w:p>
        </w:tc>
        <w:tc>
          <w:tcPr>
            <w:tcW w:w="2655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0869A431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· ·</w:t>
            </w:r>
          </w:p>
        </w:tc>
      </w:tr>
      <w:tr w:rsidR="0076096F" w:rsidRPr="0076096F" w14:paraId="56A23B72" w14:textId="77777777" w:rsidTr="006C7DF9">
        <w:trPr>
          <w:tblCellSpacing w:w="15" w:type="dxa"/>
        </w:trPr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2ACD47A9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</w:t>
            </w:r>
            <w:r w:rsidRPr="0076096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Child and maternal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malnutrition</w:t>
            </w:r>
          </w:p>
        </w:tc>
        <w:tc>
          <w:tcPr>
            <w:tcW w:w="4383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2042F311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655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43739064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76096F" w:rsidRPr="0076096F" w14:paraId="7B3672A3" w14:textId="77777777" w:rsidTr="006C7DF9">
        <w:trPr>
          <w:tblCellSpacing w:w="15" w:type="dxa"/>
        </w:trPr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28CF72A3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Suboptimal breastfeeding</w:t>
            </w:r>
          </w:p>
        </w:tc>
        <w:tc>
          <w:tcPr>
            <w:tcW w:w="4383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396D921C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655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3B8B0D2C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76096F" w:rsidRPr="0076096F" w14:paraId="7513E1D1" w14:textId="77777777" w:rsidTr="006C7DF9">
        <w:trPr>
          <w:tblCellSpacing w:w="15" w:type="dxa"/>
        </w:trPr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72D8BFF6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Non-exclusive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breastfeeding</w:t>
            </w:r>
          </w:p>
        </w:tc>
        <w:tc>
          <w:tcPr>
            <w:tcW w:w="4383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00493E2D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Proportion of children younger than 6 months who receive predominant, partial, or no breastfeeding</w:t>
            </w:r>
          </w:p>
        </w:tc>
        <w:tc>
          <w:tcPr>
            <w:tcW w:w="2655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14E2F6ED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 children are exclusively breastfed for first 6 months of life</w:t>
            </w:r>
          </w:p>
        </w:tc>
      </w:tr>
      <w:tr w:rsidR="0076096F" w:rsidRPr="0076096F" w14:paraId="36DB3A24" w14:textId="77777777" w:rsidTr="006C7DF9">
        <w:trPr>
          <w:tblCellSpacing w:w="15" w:type="dxa"/>
        </w:trPr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16CB0F22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Discontinued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breastfeeding</w:t>
            </w:r>
          </w:p>
        </w:tc>
        <w:tc>
          <w:tcPr>
            <w:tcW w:w="4383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071036BD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Proportion of children aged 6–23 months who do not receive any breastmilk</w:t>
            </w:r>
          </w:p>
        </w:tc>
        <w:tc>
          <w:tcPr>
            <w:tcW w:w="2655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1410AAA8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 children continue to receive breast milk until 2 years of age</w:t>
            </w:r>
          </w:p>
        </w:tc>
      </w:tr>
      <w:tr w:rsidR="0076096F" w:rsidRPr="0076096F" w14:paraId="7BF99E49" w14:textId="77777777" w:rsidTr="006C7DF9">
        <w:trPr>
          <w:tblCellSpacing w:w="15" w:type="dxa"/>
        </w:trPr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135236FF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Childhood undernutrition</w:t>
            </w:r>
          </w:p>
        </w:tc>
        <w:tc>
          <w:tcPr>
            <w:tcW w:w="4383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541485CA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655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325D7638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76096F" w:rsidRPr="0076096F" w14:paraId="722E8466" w14:textId="77777777" w:rsidTr="006C7DF9">
        <w:trPr>
          <w:tblCellSpacing w:w="15" w:type="dxa"/>
        </w:trPr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323A5A2B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Childhood underweight</w:t>
            </w:r>
          </w:p>
        </w:tc>
        <w:tc>
          <w:tcPr>
            <w:tcW w:w="4383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03A20302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Proportion of children less than −3 SDs, −3 to −2 SDs, and −2 to −1 SDs of the WHO 2006 standard weight-for-age curve</w:t>
            </w:r>
          </w:p>
        </w:tc>
        <w:tc>
          <w:tcPr>
            <w:tcW w:w="2655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795A1FF7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 children are above −1 SD of the WHO 2006 standard weight-for-age curve</w:t>
            </w:r>
          </w:p>
        </w:tc>
      </w:tr>
      <w:tr w:rsidR="0076096F" w:rsidRPr="0076096F" w14:paraId="64DA0892" w14:textId="77777777" w:rsidTr="006C7DF9">
        <w:trPr>
          <w:tblCellSpacing w:w="15" w:type="dxa"/>
        </w:trPr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7D9A35C3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Childhood wasting</w:t>
            </w:r>
          </w:p>
        </w:tc>
        <w:tc>
          <w:tcPr>
            <w:tcW w:w="4383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200D6BA8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Proportion of children less than −3 SDs, −3 to −2 SDs, and −2 to −1 SDs of the WHO 2006 standard weight-for-length curve</w:t>
            </w:r>
          </w:p>
        </w:tc>
        <w:tc>
          <w:tcPr>
            <w:tcW w:w="2655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3DE7E293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 children are above −1 SD of the WHO 2006 standard weight-for-height curve</w:t>
            </w:r>
          </w:p>
        </w:tc>
      </w:tr>
      <w:tr w:rsidR="0076096F" w:rsidRPr="0076096F" w14:paraId="37EE217B" w14:textId="77777777" w:rsidTr="006C7DF9">
        <w:trPr>
          <w:tblCellSpacing w:w="15" w:type="dxa"/>
        </w:trPr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1B87A43B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Childhood stunting</w:t>
            </w:r>
          </w:p>
        </w:tc>
        <w:tc>
          <w:tcPr>
            <w:tcW w:w="4383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3DB42115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Proportion of children less than −3 SDs, −3 to −2 SDs, and −2 to −1 SDs of the WHO 2006 standard height-for-age curve</w:t>
            </w:r>
          </w:p>
        </w:tc>
        <w:tc>
          <w:tcPr>
            <w:tcW w:w="2655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4265FE91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 children are above −1 SD of the WHO 2006 standard height-for-height curve</w:t>
            </w:r>
          </w:p>
        </w:tc>
      </w:tr>
      <w:tr w:rsidR="0076096F" w:rsidRPr="0076096F" w14:paraId="78958A3B" w14:textId="77777777" w:rsidTr="006C7DF9">
        <w:trPr>
          <w:tblCellSpacing w:w="15" w:type="dxa"/>
        </w:trPr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4587344A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Iron deficiency</w:t>
            </w:r>
          </w:p>
        </w:tc>
        <w:tc>
          <w:tcPr>
            <w:tcW w:w="4383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6EEDD518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Peripheral blood </w:t>
            </w:r>
            <w:proofErr w:type="spellStart"/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haemoglobin</w:t>
            </w:r>
            <w:proofErr w:type="spellEnd"/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concentration in g/L</w:t>
            </w:r>
          </w:p>
        </w:tc>
        <w:tc>
          <w:tcPr>
            <w:tcW w:w="2655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3514EE3C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Country specific</w:t>
            </w:r>
          </w:p>
        </w:tc>
      </w:tr>
      <w:tr w:rsidR="0076096F" w:rsidRPr="0076096F" w14:paraId="7F5F71E4" w14:textId="77777777" w:rsidTr="006C7DF9">
        <w:trPr>
          <w:tblCellSpacing w:w="15" w:type="dxa"/>
        </w:trPr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1BE4FB83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Vitamin A deficiency</w:t>
            </w:r>
          </w:p>
        </w:tc>
        <w:tc>
          <w:tcPr>
            <w:tcW w:w="4383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3A9190A7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Proportion of children aged 28 days to 5 years with serum retinol concentration &lt;0·7 </w:t>
            </w:r>
            <w:proofErr w:type="spellStart"/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μmol</w:t>
            </w:r>
            <w:proofErr w:type="spellEnd"/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/L</w:t>
            </w:r>
          </w:p>
        </w:tc>
        <w:tc>
          <w:tcPr>
            <w:tcW w:w="2655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7D673C1E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childhood vitamin A deficiency</w:t>
            </w:r>
          </w:p>
        </w:tc>
      </w:tr>
      <w:tr w:rsidR="0076096F" w:rsidRPr="0076096F" w14:paraId="3ADF7E6B" w14:textId="77777777" w:rsidTr="006C7DF9">
        <w:trPr>
          <w:tblCellSpacing w:w="15" w:type="dxa"/>
        </w:trPr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0BA12E4B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Zinc deficiency</w:t>
            </w:r>
          </w:p>
        </w:tc>
        <w:tc>
          <w:tcPr>
            <w:tcW w:w="4383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4179AD77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Proportion of the population with inadequate zinc intake versus loss</w:t>
            </w:r>
          </w:p>
        </w:tc>
        <w:tc>
          <w:tcPr>
            <w:tcW w:w="2655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74008D3D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inadequate zinc intake</w:t>
            </w:r>
          </w:p>
        </w:tc>
      </w:tr>
      <w:tr w:rsidR="0076096F" w:rsidRPr="0076096F" w14:paraId="00956325" w14:textId="77777777" w:rsidTr="006C7DF9">
        <w:trPr>
          <w:tblCellSpacing w:w="15" w:type="dxa"/>
        </w:trPr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2B019408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</w:t>
            </w:r>
            <w:r w:rsidRPr="0076096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Tobacco smoke</w:t>
            </w:r>
          </w:p>
        </w:tc>
        <w:tc>
          <w:tcPr>
            <w:tcW w:w="4383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7698C37B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655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5D9037F3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76096F" w:rsidRPr="0076096F" w14:paraId="0863FEAB" w14:textId="77777777" w:rsidTr="006C7DF9">
        <w:trPr>
          <w:tblCellSpacing w:w="15" w:type="dxa"/>
        </w:trPr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7E093ADC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Smoking</w:t>
            </w:r>
          </w:p>
        </w:tc>
        <w:tc>
          <w:tcPr>
            <w:tcW w:w="4383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43240182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Proportion of the population with cumulative exposure to tobacco smoking; 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proportion of the population who currently smoke</w:t>
            </w:r>
          </w:p>
        </w:tc>
        <w:tc>
          <w:tcPr>
            <w:tcW w:w="2655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575AB9B5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100% of population is lifelong nonsmokers</w:t>
            </w:r>
          </w:p>
        </w:tc>
      </w:tr>
      <w:tr w:rsidR="0076096F" w:rsidRPr="0076096F" w14:paraId="2A1A2BF2" w14:textId="77777777" w:rsidTr="006C7DF9">
        <w:trPr>
          <w:tblCellSpacing w:w="15" w:type="dxa"/>
        </w:trPr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7F2D97F2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Second-hand smoke</w:t>
            </w:r>
          </w:p>
        </w:tc>
        <w:tc>
          <w:tcPr>
            <w:tcW w:w="4383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132B171A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Average daily exposure to indoor air particulate matter from second-hand smoke with an aerodynamic diameter smaller than 2·5 </w:t>
            </w:r>
            <w:proofErr w:type="spellStart"/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μg</w:t>
            </w:r>
            <w:proofErr w:type="spellEnd"/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measured in </w:t>
            </w:r>
            <w:proofErr w:type="spellStart"/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μg</w:t>
            </w:r>
            <w:proofErr w:type="spellEnd"/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/m</w:t>
            </w:r>
            <w:r w:rsidRPr="0076096F">
              <w:rPr>
                <w:rFonts w:ascii="revert" w:eastAsia="Times New Roman" w:hAnsi="revert" w:cs="Times New Roman"/>
                <w:kern w:val="0"/>
                <w:sz w:val="20"/>
                <w:szCs w:val="20"/>
                <w:vertAlign w:val="superscript"/>
                <w14:ligatures w14:val="none"/>
              </w:rPr>
              <w:t>3</w:t>
            </w:r>
          </w:p>
        </w:tc>
        <w:tc>
          <w:tcPr>
            <w:tcW w:w="2655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77220168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second-hand smoke exposure</w:t>
            </w:r>
          </w:p>
        </w:tc>
      </w:tr>
      <w:tr w:rsidR="0076096F" w:rsidRPr="0076096F" w14:paraId="5514A54F" w14:textId="77777777" w:rsidTr="006C7DF9">
        <w:trPr>
          <w:tblCellSpacing w:w="15" w:type="dxa"/>
        </w:trPr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4914B509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</w:t>
            </w:r>
            <w:r w:rsidRPr="0076096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Alcohol and drug use</w:t>
            </w:r>
          </w:p>
        </w:tc>
        <w:tc>
          <w:tcPr>
            <w:tcW w:w="4383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3A71F71B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655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4121A2AC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76096F" w:rsidRPr="0076096F" w14:paraId="6A7B14F4" w14:textId="77777777" w:rsidTr="006C7DF9">
        <w:trPr>
          <w:tblCellSpacing w:w="15" w:type="dxa"/>
        </w:trPr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14169C72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Alcohol use</w:t>
            </w:r>
          </w:p>
        </w:tc>
        <w:tc>
          <w:tcPr>
            <w:tcW w:w="4383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427C8599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Average daily alcohol consumption of pure alcohol (measured in g/day) in current drinkers who had consumed alcohol during the past 12 months; binge drinking defined as proportion of the population reporting binge consumption of at least 60 g for males and 48 g for females of pure alcohol on a single occasion</w:t>
            </w:r>
          </w:p>
        </w:tc>
        <w:tc>
          <w:tcPr>
            <w:tcW w:w="2655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3E1E23A9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alcohol consumption</w:t>
            </w:r>
          </w:p>
        </w:tc>
      </w:tr>
      <w:tr w:rsidR="0076096F" w:rsidRPr="0076096F" w14:paraId="458D1281" w14:textId="77777777" w:rsidTr="006C7DF9">
        <w:trPr>
          <w:tblCellSpacing w:w="15" w:type="dxa"/>
        </w:trPr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0EDFC1F7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Drug use</w:t>
            </w:r>
          </w:p>
        </w:tc>
        <w:tc>
          <w:tcPr>
            <w:tcW w:w="4383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3920D4BB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Proportion of the population dependent on opioids, cannabis, cocaine, or amphetamines; proportion of the population who have ever injected drugs</w:t>
            </w:r>
          </w:p>
        </w:tc>
        <w:tc>
          <w:tcPr>
            <w:tcW w:w="2655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3B8DE605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use</w:t>
            </w:r>
          </w:p>
        </w:tc>
      </w:tr>
      <w:tr w:rsidR="0076096F" w:rsidRPr="0076096F" w14:paraId="6FE04A03" w14:textId="77777777" w:rsidTr="006C7DF9">
        <w:trPr>
          <w:tblCellSpacing w:w="15" w:type="dxa"/>
        </w:trPr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500BAB37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</w:t>
            </w:r>
            <w:r w:rsidRPr="0076096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Dietary risks</w:t>
            </w:r>
          </w:p>
        </w:tc>
        <w:tc>
          <w:tcPr>
            <w:tcW w:w="4383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6AB43A57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655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1F2F01E3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76096F" w:rsidRPr="0076096F" w14:paraId="766831B3" w14:textId="77777777" w:rsidTr="006C7DF9">
        <w:trPr>
          <w:tblCellSpacing w:w="15" w:type="dxa"/>
        </w:trPr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0A843A06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Diet low in fruits</w:t>
            </w:r>
          </w:p>
        </w:tc>
        <w:tc>
          <w:tcPr>
            <w:tcW w:w="4383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0DB29F12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Average daily consumption of fruits (fresh, frozen, cooked, canned, or dried, excluding fruit juices and salted or pickled fruits)</w:t>
            </w:r>
          </w:p>
        </w:tc>
        <w:tc>
          <w:tcPr>
            <w:tcW w:w="2655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188D336F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Consumption of fruit between 200 g and 400 g per day</w:t>
            </w:r>
          </w:p>
        </w:tc>
      </w:tr>
      <w:tr w:rsidR="0076096F" w:rsidRPr="0076096F" w14:paraId="7623B599" w14:textId="77777777" w:rsidTr="006C7DF9">
        <w:trPr>
          <w:tblCellSpacing w:w="15" w:type="dxa"/>
        </w:trPr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16479F1C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Diet low in vegetables</w:t>
            </w:r>
          </w:p>
        </w:tc>
        <w:tc>
          <w:tcPr>
            <w:tcW w:w="4383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54AFAB0B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Average daily consumption of vegetables (fresh, frozen, cooked, canned, or dried vegetables, including legumes but excluding salted or pickled vegetables, 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juices, nuts and seeds, and starchy vegetables such as potatoes or corn)</w:t>
            </w:r>
          </w:p>
        </w:tc>
        <w:tc>
          <w:tcPr>
            <w:tcW w:w="2655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7241B5D6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Consumption of vegetables between 350 g and 450 g per day</w:t>
            </w:r>
          </w:p>
        </w:tc>
      </w:tr>
      <w:tr w:rsidR="0076096F" w:rsidRPr="0076096F" w14:paraId="68E3FA05" w14:textId="77777777" w:rsidTr="006C7DF9">
        <w:trPr>
          <w:tblCellSpacing w:w="15" w:type="dxa"/>
        </w:trPr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52FAB1EE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Diet low in whole grains</w:t>
            </w:r>
          </w:p>
        </w:tc>
        <w:tc>
          <w:tcPr>
            <w:tcW w:w="4383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7688E155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Average daily consumption of whole grains (bran, germ, and endosperm in their natural proportion) from breakfast cereals, bread, rice, pasta, biscuits, muffins, tortillas, pancakes, and other sources</w:t>
            </w:r>
          </w:p>
        </w:tc>
        <w:tc>
          <w:tcPr>
            <w:tcW w:w="2655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7C396CF7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Consumption of whole grains between 100 g and 150 g per day</w:t>
            </w:r>
          </w:p>
        </w:tc>
      </w:tr>
      <w:tr w:rsidR="0076096F" w:rsidRPr="0076096F" w14:paraId="55EDFCA8" w14:textId="77777777" w:rsidTr="006C7DF9">
        <w:trPr>
          <w:tblCellSpacing w:w="15" w:type="dxa"/>
        </w:trPr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0CFB80A4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Diet low in nuts and seeds</w:t>
            </w:r>
          </w:p>
        </w:tc>
        <w:tc>
          <w:tcPr>
            <w:tcW w:w="4383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2782B97E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Average daily consumption of nut and seed foods</w:t>
            </w:r>
          </w:p>
        </w:tc>
        <w:tc>
          <w:tcPr>
            <w:tcW w:w="2655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5D12ED2A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Consumption of nuts and seeds between 12 g and 20 g per day</w:t>
            </w:r>
          </w:p>
        </w:tc>
      </w:tr>
      <w:tr w:rsidR="0076096F" w:rsidRPr="0076096F" w14:paraId="08036D2A" w14:textId="77777777" w:rsidTr="006C7DF9">
        <w:trPr>
          <w:tblCellSpacing w:w="15" w:type="dxa"/>
        </w:trPr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26029079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Diet low in milk</w:t>
            </w:r>
          </w:p>
        </w:tc>
        <w:tc>
          <w:tcPr>
            <w:tcW w:w="4383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4B6D4AD2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Average daily consumption of milk, including non-fat, low-fat, and full-fat milk, excluding soy milk and other plant derivatives</w:t>
            </w:r>
          </w:p>
        </w:tc>
        <w:tc>
          <w:tcPr>
            <w:tcW w:w="2655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3ADC4477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Consumption of milk between 425 g and 475 g per day</w:t>
            </w:r>
          </w:p>
        </w:tc>
      </w:tr>
      <w:tr w:rsidR="0076096F" w:rsidRPr="0076096F" w14:paraId="6EDCF255" w14:textId="77777777" w:rsidTr="006C7DF9">
        <w:trPr>
          <w:tblCellSpacing w:w="15" w:type="dxa"/>
        </w:trPr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067F9125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Diet high in red meat</w:t>
            </w:r>
          </w:p>
        </w:tc>
        <w:tc>
          <w:tcPr>
            <w:tcW w:w="4383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66EFE459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Average daily consumption of red meat (beef, pork, lamb, </w:t>
            </w:r>
            <w:proofErr w:type="gramStart"/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and,</w:t>
            </w:r>
            <w:proofErr w:type="gramEnd"/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goat but excluding poultry, fish, eggs, and all processed meats)</w:t>
            </w:r>
          </w:p>
        </w:tc>
        <w:tc>
          <w:tcPr>
            <w:tcW w:w="2655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1C18151B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Consumption of red meat between 11·4 g and 17·1 g per day</w:t>
            </w:r>
          </w:p>
        </w:tc>
      </w:tr>
      <w:tr w:rsidR="0076096F" w:rsidRPr="0076096F" w14:paraId="443E7721" w14:textId="77777777" w:rsidTr="006C7DF9">
        <w:trPr>
          <w:tblCellSpacing w:w="15" w:type="dxa"/>
        </w:trPr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2D49A73C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Diet high in processed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meat</w:t>
            </w:r>
          </w:p>
        </w:tc>
        <w:tc>
          <w:tcPr>
            <w:tcW w:w="4383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7DA1621D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Average daily consumption of meat preserved by smoking, curing, salting, or addition of chemical preservatives</w:t>
            </w:r>
          </w:p>
        </w:tc>
        <w:tc>
          <w:tcPr>
            <w:tcW w:w="2655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333DF104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Consumption of processed meat between 0 g and 14·3 g per day</w:t>
            </w:r>
          </w:p>
        </w:tc>
      </w:tr>
      <w:tr w:rsidR="0076096F" w:rsidRPr="0076096F" w14:paraId="425415D9" w14:textId="77777777" w:rsidTr="006C7DF9">
        <w:trPr>
          <w:tblCellSpacing w:w="15" w:type="dxa"/>
        </w:trPr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2B6D0927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Diet high in sugar-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sweetened beverages</w:t>
            </w:r>
          </w:p>
        </w:tc>
        <w:tc>
          <w:tcPr>
            <w:tcW w:w="4383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1104E0AE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Average daily consumption of beverages with ≥50 kcal per 226·8 g serving, including carbonated beverages, sodas, energy drinks, and fruit drinks, but excluding 100% fruit and vegetable juices</w:t>
            </w:r>
          </w:p>
        </w:tc>
        <w:tc>
          <w:tcPr>
            <w:tcW w:w="2655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032C3FF1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Consumption of sugar-sweetened beverages between 0 g and 64·3 g per day</w:t>
            </w:r>
          </w:p>
        </w:tc>
      </w:tr>
      <w:tr w:rsidR="0076096F" w:rsidRPr="0076096F" w14:paraId="631596E4" w14:textId="77777777" w:rsidTr="006C7DF9">
        <w:trPr>
          <w:tblCellSpacing w:w="15" w:type="dxa"/>
        </w:trPr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2ED6F1BC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Diet low in </w:t>
            </w:r>
            <w:proofErr w:type="spellStart"/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fibre</w:t>
            </w:r>
            <w:proofErr w:type="spellEnd"/>
          </w:p>
        </w:tc>
        <w:tc>
          <w:tcPr>
            <w:tcW w:w="4383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07049337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Average daily intake of </w:t>
            </w:r>
            <w:proofErr w:type="spellStart"/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fibre</w:t>
            </w:r>
            <w:proofErr w:type="spellEnd"/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from all sources including fruits, vegetables, grains, legumes, and pulses</w:t>
            </w:r>
          </w:p>
        </w:tc>
        <w:tc>
          <w:tcPr>
            <w:tcW w:w="2655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55905742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Consumption of </w:t>
            </w:r>
            <w:proofErr w:type="spellStart"/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fibre</w:t>
            </w:r>
            <w:proofErr w:type="spellEnd"/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between 28 g and 32 g per day</w:t>
            </w:r>
          </w:p>
        </w:tc>
      </w:tr>
      <w:tr w:rsidR="0076096F" w:rsidRPr="0076096F" w14:paraId="2B80B263" w14:textId="77777777" w:rsidTr="006C7DF9">
        <w:trPr>
          <w:tblCellSpacing w:w="15" w:type="dxa"/>
        </w:trPr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4E4A9912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Diet suboptimal in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calcium</w:t>
            </w:r>
          </w:p>
        </w:tc>
        <w:tc>
          <w:tcPr>
            <w:tcW w:w="4383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1EDF2520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Average daily intake of calcium from all sources, including milk, yogurt, and cheese</w:t>
            </w:r>
          </w:p>
        </w:tc>
        <w:tc>
          <w:tcPr>
            <w:tcW w:w="2655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71A01171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Consumption of calcium between 0 g and 0·77 g per day</w:t>
            </w:r>
          </w:p>
        </w:tc>
      </w:tr>
      <w:tr w:rsidR="0076096F" w:rsidRPr="0076096F" w14:paraId="3E093846" w14:textId="77777777" w:rsidTr="006C7DF9">
        <w:trPr>
          <w:tblCellSpacing w:w="15" w:type="dxa"/>
        </w:trPr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03484AAC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Diet low in seafood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omega-3 fatty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acids</w:t>
            </w:r>
          </w:p>
        </w:tc>
        <w:tc>
          <w:tcPr>
            <w:tcW w:w="4383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07655FA3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Average daily intake of </w:t>
            </w:r>
            <w:proofErr w:type="spellStart"/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eicosapentaenoic</w:t>
            </w:r>
            <w:proofErr w:type="spellEnd"/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acid and docosahexaenoic acid</w:t>
            </w:r>
          </w:p>
        </w:tc>
        <w:tc>
          <w:tcPr>
            <w:tcW w:w="2655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571297B4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Consumption of seafood omega-3 fatty acids between 200 mg and 300 mg per day</w:t>
            </w:r>
          </w:p>
        </w:tc>
      </w:tr>
      <w:tr w:rsidR="0076096F" w:rsidRPr="0076096F" w14:paraId="2ABE8444" w14:textId="77777777" w:rsidTr="006C7DF9">
        <w:trPr>
          <w:tblCellSpacing w:w="15" w:type="dxa"/>
        </w:trPr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02C09ECA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Diet low in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polyunsaturated fatty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acids</w:t>
            </w:r>
          </w:p>
        </w:tc>
        <w:tc>
          <w:tcPr>
            <w:tcW w:w="4383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32985831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Average daily intake of omega-6 fatty acids from all sources, mainly liquid vegetable oils, including soybean oil, corn oil, and safflower oil</w:t>
            </w:r>
          </w:p>
        </w:tc>
        <w:tc>
          <w:tcPr>
            <w:tcW w:w="2655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197C1B1C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Consumption of polyunsaturated fatty acids between 10% and 15% of total daily energy</w:t>
            </w:r>
          </w:p>
        </w:tc>
      </w:tr>
      <w:tr w:rsidR="0076096F" w:rsidRPr="0076096F" w14:paraId="54A3D59C" w14:textId="77777777" w:rsidTr="006C7DF9">
        <w:trPr>
          <w:tblCellSpacing w:w="15" w:type="dxa"/>
        </w:trPr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69E4F792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Diet high in trans fatty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acids</w:t>
            </w:r>
          </w:p>
        </w:tc>
        <w:tc>
          <w:tcPr>
            <w:tcW w:w="4383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0FFA9833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Average daily intake of trans fat from all sources, mainly partially hydrogenated vegetable oils and ruminant products</w:t>
            </w:r>
          </w:p>
        </w:tc>
        <w:tc>
          <w:tcPr>
            <w:tcW w:w="2655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1BAD8F2E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Consumption of trans fatty acids between 0% and 0·8% of total daily energy</w:t>
            </w:r>
          </w:p>
        </w:tc>
      </w:tr>
      <w:tr w:rsidR="0076096F" w:rsidRPr="0076096F" w14:paraId="1C2C8898" w14:textId="77777777" w:rsidTr="006C7DF9">
        <w:trPr>
          <w:tblCellSpacing w:w="15" w:type="dxa"/>
        </w:trPr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2C46B0F1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Diet high in sodium</w:t>
            </w:r>
          </w:p>
        </w:tc>
        <w:tc>
          <w:tcPr>
            <w:tcW w:w="4383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2EFEDD47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24 h urinary sodium measured in mg per day</w:t>
            </w:r>
          </w:p>
        </w:tc>
        <w:tc>
          <w:tcPr>
            <w:tcW w:w="2655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027BAA77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Consumption of sodium between 1 g and 5 g per day</w:t>
            </w:r>
          </w:p>
        </w:tc>
      </w:tr>
      <w:tr w:rsidR="0076096F" w:rsidRPr="0076096F" w14:paraId="2DA5578B" w14:textId="77777777" w:rsidTr="006C7DF9">
        <w:trPr>
          <w:tblCellSpacing w:w="15" w:type="dxa"/>
        </w:trPr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7381023D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</w:t>
            </w:r>
            <w:r w:rsidRPr="0076096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Sexual abuse and violence</w:t>
            </w:r>
          </w:p>
        </w:tc>
        <w:tc>
          <w:tcPr>
            <w:tcW w:w="4383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373FC1E4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655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23FE18AE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76096F" w:rsidRPr="0076096F" w14:paraId="724CA478" w14:textId="77777777" w:rsidTr="006C7DF9">
        <w:trPr>
          <w:tblCellSpacing w:w="15" w:type="dxa"/>
        </w:trPr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3B1C2F69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Childhood sexual abuse</w:t>
            </w:r>
          </w:p>
        </w:tc>
        <w:tc>
          <w:tcPr>
            <w:tcW w:w="4383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4353A6A9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Proportion of the population who have ever experienced one or more acts of childhood sexual abuse, defined as the experience with an older person of unwanted non-contact, contact abuse, or intercourse, when aged 15 years or younger</w:t>
            </w:r>
          </w:p>
        </w:tc>
        <w:tc>
          <w:tcPr>
            <w:tcW w:w="2655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7B2D8139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childhood sexual abuse</w:t>
            </w:r>
          </w:p>
        </w:tc>
      </w:tr>
      <w:tr w:rsidR="0076096F" w:rsidRPr="0076096F" w14:paraId="2A9F98D9" w14:textId="77777777" w:rsidTr="006C7DF9">
        <w:trPr>
          <w:tblCellSpacing w:w="15" w:type="dxa"/>
        </w:trPr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014E8C34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Intimate partner violence</w:t>
            </w:r>
          </w:p>
        </w:tc>
        <w:tc>
          <w:tcPr>
            <w:tcW w:w="4383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3D655D10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Proportion of the population who have ever experienced one or more acts of physical or sexual violence by a present or former intimate partner since age 15 years</w:t>
            </w:r>
          </w:p>
        </w:tc>
        <w:tc>
          <w:tcPr>
            <w:tcW w:w="2655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74B0152A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intimate partner violence</w:t>
            </w:r>
          </w:p>
        </w:tc>
      </w:tr>
      <w:tr w:rsidR="0076096F" w:rsidRPr="0076096F" w14:paraId="40C28270" w14:textId="77777777" w:rsidTr="006C7DF9">
        <w:trPr>
          <w:tblCellSpacing w:w="15" w:type="dxa"/>
        </w:trPr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47B795C6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</w:t>
            </w:r>
            <w:r w:rsidRPr="0076096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Unsafe sex</w:t>
            </w:r>
          </w:p>
        </w:tc>
        <w:tc>
          <w:tcPr>
            <w:tcW w:w="4383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68F997B5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Proportion of the population with exposure to sexual encounters that convey the risk of disease</w:t>
            </w:r>
          </w:p>
        </w:tc>
        <w:tc>
          <w:tcPr>
            <w:tcW w:w="2655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4A3DDF3C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 exposure to a disease agent through sex</w:t>
            </w:r>
          </w:p>
        </w:tc>
      </w:tr>
      <w:tr w:rsidR="0076096F" w:rsidRPr="0076096F" w14:paraId="32D72C53" w14:textId="77777777" w:rsidTr="006C7DF9">
        <w:trPr>
          <w:tblCellSpacing w:w="15" w:type="dxa"/>
        </w:trPr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0112E107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</w:t>
            </w:r>
            <w:r w:rsidRPr="0076096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Low physical activity</w:t>
            </w:r>
          </w:p>
        </w:tc>
        <w:tc>
          <w:tcPr>
            <w:tcW w:w="4383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4C4F70F4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Average weekly physical activity at work, home, transport-related, and recreational measured by metabolic equivalent (MET) mins per week</w:t>
            </w:r>
          </w:p>
        </w:tc>
        <w:tc>
          <w:tcPr>
            <w:tcW w:w="2655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1EAD2F50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Highly active, ≥8000 MET min per week</w:t>
            </w:r>
          </w:p>
        </w:tc>
      </w:tr>
      <w:tr w:rsidR="0076096F" w:rsidRPr="0076096F" w14:paraId="562112C6" w14:textId="77777777" w:rsidTr="006C7DF9">
        <w:trPr>
          <w:tblCellSpacing w:w="15" w:type="dxa"/>
        </w:trPr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03CC35E3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</w:t>
            </w:r>
            <w:r w:rsidRPr="0076096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Metabolic risks</w:t>
            </w:r>
          </w:p>
        </w:tc>
        <w:tc>
          <w:tcPr>
            <w:tcW w:w="4383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4C3BEEC0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· ·</w:t>
            </w:r>
          </w:p>
        </w:tc>
        <w:tc>
          <w:tcPr>
            <w:tcW w:w="2655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324318D0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· ·</w:t>
            </w:r>
          </w:p>
        </w:tc>
      </w:tr>
      <w:tr w:rsidR="0076096F" w:rsidRPr="0076096F" w14:paraId="7B151549" w14:textId="77777777" w:rsidTr="006C7DF9">
        <w:trPr>
          <w:tblCellSpacing w:w="15" w:type="dxa"/>
        </w:trPr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4DDA1AA2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 fasting plasma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glucose</w:t>
            </w:r>
          </w:p>
        </w:tc>
        <w:tc>
          <w:tcPr>
            <w:tcW w:w="4383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433C977C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Serum fasting plasma glucose, measured in mmol/L</w:t>
            </w:r>
          </w:p>
        </w:tc>
        <w:tc>
          <w:tcPr>
            <w:tcW w:w="2655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068C59B3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4·8–5·4</w:t>
            </w:r>
          </w:p>
        </w:tc>
      </w:tr>
      <w:tr w:rsidR="0076096F" w:rsidRPr="0076096F" w14:paraId="78AC6E18" w14:textId="77777777" w:rsidTr="006C7DF9">
        <w:trPr>
          <w:tblCellSpacing w:w="15" w:type="dxa"/>
        </w:trPr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72DE79E4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 total cholesterol</w:t>
            </w:r>
          </w:p>
        </w:tc>
        <w:tc>
          <w:tcPr>
            <w:tcW w:w="4383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5BF72114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Serum total cholesterol, measured in mmol/L</w:t>
            </w:r>
          </w:p>
        </w:tc>
        <w:tc>
          <w:tcPr>
            <w:tcW w:w="2655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32BCE2D8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3·0–4·8</w:t>
            </w:r>
          </w:p>
        </w:tc>
      </w:tr>
      <w:tr w:rsidR="0076096F" w:rsidRPr="0076096F" w14:paraId="1A2D5579" w14:textId="77777777" w:rsidTr="006C7DF9">
        <w:trPr>
          <w:tblCellSpacing w:w="15" w:type="dxa"/>
        </w:trPr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0A087B25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 systolic blood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pressure</w:t>
            </w:r>
          </w:p>
        </w:tc>
        <w:tc>
          <w:tcPr>
            <w:tcW w:w="4383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0268E7A1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Systolic blood pressure, measured in mm Hg</w:t>
            </w:r>
          </w:p>
        </w:tc>
        <w:tc>
          <w:tcPr>
            <w:tcW w:w="2655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0D8AACE9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107–119</w:t>
            </w:r>
          </w:p>
        </w:tc>
      </w:tr>
      <w:tr w:rsidR="0076096F" w:rsidRPr="0076096F" w14:paraId="12559BDC" w14:textId="77777777" w:rsidTr="006C7DF9">
        <w:trPr>
          <w:tblCellSpacing w:w="15" w:type="dxa"/>
        </w:trPr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5834BF6C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 body-mass index</w:t>
            </w:r>
          </w:p>
        </w:tc>
        <w:tc>
          <w:tcPr>
            <w:tcW w:w="4383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7AA08279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Body-mass index, measured in kg/m</w:t>
            </w:r>
            <w:r w:rsidRPr="0076096F">
              <w:rPr>
                <w:rFonts w:ascii="revert" w:eastAsia="Times New Roman" w:hAnsi="revert" w:cs="Times New Roman"/>
                <w:kern w:val="0"/>
                <w:sz w:val="20"/>
                <w:szCs w:val="20"/>
                <w:vertAlign w:val="superscript"/>
                <w14:ligatures w14:val="none"/>
              </w:rPr>
              <w:t>2</w:t>
            </w:r>
          </w:p>
        </w:tc>
        <w:tc>
          <w:tcPr>
            <w:tcW w:w="2655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7ABA5FE7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21–23</w:t>
            </w:r>
          </w:p>
        </w:tc>
      </w:tr>
      <w:tr w:rsidR="0076096F" w:rsidRPr="0076096F" w14:paraId="72A26ED3" w14:textId="77777777" w:rsidTr="006C7DF9">
        <w:trPr>
          <w:tblCellSpacing w:w="15" w:type="dxa"/>
        </w:trPr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7948FA65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 bone mineral density</w:t>
            </w:r>
          </w:p>
        </w:tc>
        <w:tc>
          <w:tcPr>
            <w:tcW w:w="4383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7FBAECB9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Standardised</w:t>
            </w:r>
            <w:proofErr w:type="spellEnd"/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mean bone mineral density values measured at the femoral neck in g/cm</w:t>
            </w:r>
            <w:r w:rsidRPr="0076096F">
              <w:rPr>
                <w:rFonts w:ascii="revert" w:eastAsia="Times New Roman" w:hAnsi="revert" w:cs="Times New Roman"/>
                <w:kern w:val="0"/>
                <w:sz w:val="20"/>
                <w:szCs w:val="20"/>
                <w:vertAlign w:val="superscript"/>
                <w14:ligatures w14:val="none"/>
              </w:rPr>
              <w:t>2</w:t>
            </w:r>
          </w:p>
        </w:tc>
        <w:tc>
          <w:tcPr>
            <w:tcW w:w="2655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4118751C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99th percentile of NHANES 2005–10 by age and sex</w:t>
            </w:r>
          </w:p>
        </w:tc>
      </w:tr>
      <w:tr w:rsidR="0076096F" w:rsidRPr="0076096F" w14:paraId="36E41291" w14:textId="77777777" w:rsidTr="006C7DF9">
        <w:trPr>
          <w:tblCellSpacing w:w="15" w:type="dxa"/>
        </w:trPr>
        <w:tc>
          <w:tcPr>
            <w:tcW w:w="0" w:type="auto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5C827BAD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 glomerular filtration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br/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 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rate</w:t>
            </w:r>
          </w:p>
        </w:tc>
        <w:tc>
          <w:tcPr>
            <w:tcW w:w="4383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14CF92C3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Proportion of the population with a GFR &lt;60 mL per min per 1·73 m</w:t>
            </w:r>
            <w:r w:rsidRPr="0076096F">
              <w:rPr>
                <w:rFonts w:ascii="revert" w:eastAsia="Times New Roman" w:hAnsi="revert" w:cs="Times New Roman"/>
                <w:kern w:val="0"/>
                <w:sz w:val="20"/>
                <w:szCs w:val="20"/>
                <w:vertAlign w:val="superscript"/>
                <w14:ligatures w14:val="none"/>
              </w:rPr>
              <w:t>2</w:t>
            </w:r>
            <w:r w:rsidRPr="0076096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and excluding end-stage renal disease</w:t>
            </w:r>
          </w:p>
        </w:tc>
        <w:tc>
          <w:tcPr>
            <w:tcW w:w="2655" w:type="dxa"/>
            <w:tcMar>
              <w:top w:w="56" w:type="dxa"/>
              <w:left w:w="56" w:type="dxa"/>
              <w:bottom w:w="56" w:type="dxa"/>
              <w:right w:w="56" w:type="dxa"/>
            </w:tcMar>
            <w:hideMark/>
          </w:tcPr>
          <w:p w14:paraId="7A3E006D" w14:textId="77777777" w:rsidR="0076096F" w:rsidRPr="0076096F" w:rsidRDefault="0076096F" w:rsidP="0076096F">
            <w:pPr>
              <w:spacing w:before="450"/>
              <w:rPr>
                <w:rFonts w:ascii="Times New Roman" w:eastAsia="Times New Roman" w:hAnsi="Times New Roman" w:cs="Times New Roman"/>
                <w:kern w:val="0"/>
                <w:lang w:val="sv-SE"/>
                <w14:ligatures w14:val="none"/>
              </w:rPr>
            </w:pPr>
            <w:r w:rsidRPr="0076096F">
              <w:rPr>
                <w:rFonts w:ascii="Times New Roman" w:eastAsia="Times New Roman" w:hAnsi="Times New Roman" w:cs="Times New Roman"/>
                <w:kern w:val="0"/>
                <w:lang w:val="sv-SE"/>
                <w14:ligatures w14:val="none"/>
              </w:rPr>
              <w:t xml:space="preserve">&gt;60 </w:t>
            </w:r>
            <w:proofErr w:type="spellStart"/>
            <w:r w:rsidRPr="0076096F">
              <w:rPr>
                <w:rFonts w:ascii="Times New Roman" w:eastAsia="Times New Roman" w:hAnsi="Times New Roman" w:cs="Times New Roman"/>
                <w:kern w:val="0"/>
                <w:lang w:val="sv-SE"/>
                <w14:ligatures w14:val="none"/>
              </w:rPr>
              <w:t>mL</w:t>
            </w:r>
            <w:proofErr w:type="spellEnd"/>
            <w:r w:rsidRPr="0076096F">
              <w:rPr>
                <w:rFonts w:ascii="Times New Roman" w:eastAsia="Times New Roman" w:hAnsi="Times New Roman" w:cs="Times New Roman"/>
                <w:kern w:val="0"/>
                <w:lang w:val="sv-SE"/>
                <w14:ligatures w14:val="none"/>
              </w:rPr>
              <w:t xml:space="preserve"> per min per 1·73 m</w:t>
            </w:r>
            <w:r w:rsidRPr="0076096F">
              <w:rPr>
                <w:rFonts w:ascii="revert" w:eastAsia="Times New Roman" w:hAnsi="revert" w:cs="Times New Roman"/>
                <w:kern w:val="0"/>
                <w:sz w:val="20"/>
                <w:szCs w:val="20"/>
                <w:vertAlign w:val="superscript"/>
                <w:lang w:val="sv-SE"/>
                <w14:ligatures w14:val="none"/>
              </w:rPr>
              <w:t>2</w:t>
            </w:r>
          </w:p>
        </w:tc>
      </w:tr>
    </w:tbl>
    <w:p w14:paraId="5939BCA9" w14:textId="77777777" w:rsidR="0076096F" w:rsidRPr="0076096F" w:rsidRDefault="0076096F">
      <w:pPr>
        <w:rPr>
          <w:lang w:val="sv-SE"/>
        </w:rPr>
      </w:pPr>
    </w:p>
    <w:sectPr w:rsidR="0076096F" w:rsidRPr="007609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revert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96F"/>
    <w:rsid w:val="006C7DF9"/>
    <w:rsid w:val="00760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FC37E"/>
  <w15:chartTrackingRefBased/>
  <w15:docId w15:val="{4C73E980-2719-C74B-ACDB-B7C60F546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6096F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096F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customStyle="1" w:styleId="msonormal0">
    <w:name w:val="msonormal"/>
    <w:basedOn w:val="Normal"/>
    <w:rsid w:val="0076096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6096F"/>
    <w:rPr>
      <w:b/>
      <w:bCs/>
    </w:rPr>
  </w:style>
  <w:style w:type="character" w:customStyle="1" w:styleId="apple-converted-space">
    <w:name w:val="apple-converted-space"/>
    <w:basedOn w:val="DefaultParagraphFont"/>
    <w:rsid w:val="007609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274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0115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1933</Words>
  <Characters>11023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Zavalis</dc:creator>
  <cp:keywords/>
  <dc:description/>
  <cp:lastModifiedBy>Emmanuel Zavalis</cp:lastModifiedBy>
  <cp:revision>1</cp:revision>
  <dcterms:created xsi:type="dcterms:W3CDTF">2025-06-28T19:15:00Z</dcterms:created>
  <dcterms:modified xsi:type="dcterms:W3CDTF">2025-06-28T19:40:00Z</dcterms:modified>
</cp:coreProperties>
</file>