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F89B6" w14:textId="77777777" w:rsidR="00077D0B" w:rsidRPr="00077D0B" w:rsidRDefault="00077D0B" w:rsidP="00077D0B">
      <w:pPr>
        <w:rPr>
          <w:rFonts w:ascii="Cambria" w:eastAsia="Times New Roman" w:hAnsi="Cambria" w:cs="Times New Roman"/>
          <w:color w:val="1B1B1B"/>
          <w:kern w:val="0"/>
          <w:sz w:val="26"/>
          <w:szCs w:val="26"/>
          <w14:ligatures w14:val="none"/>
        </w:rPr>
      </w:pPr>
      <w:r w:rsidRPr="00077D0B">
        <w:rPr>
          <w:rFonts w:ascii="Cambria" w:eastAsia="Times New Roman" w:hAnsi="Cambria" w:cs="Times New Roman"/>
          <w:color w:val="1B1B1B"/>
          <w:kern w:val="0"/>
          <w:sz w:val="26"/>
          <w:szCs w:val="26"/>
          <w14:ligatures w14:val="none"/>
        </w:rPr>
        <w:t>GBD 2016 risk factor hierarchy and accompanying exposure definitions, theoretical minimum risk exposure level, and data representativeness index for each risk factor, pre-2006, 2006–16, and total (across all years)</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277"/>
        <w:gridCol w:w="1860"/>
        <w:gridCol w:w="3803"/>
        <w:gridCol w:w="3690"/>
      </w:tblGrid>
      <w:tr w:rsidR="00077D0B" w:rsidRPr="00077D0B" w14:paraId="7762C71D" w14:textId="77777777" w:rsidTr="00077D0B">
        <w:trPr>
          <w:tblHeader/>
          <w:tblCellSpacing w:w="15" w:type="dxa"/>
        </w:trPr>
        <w:tc>
          <w:tcPr>
            <w:tcW w:w="0" w:type="auto"/>
            <w:tcMar>
              <w:top w:w="56" w:type="dxa"/>
              <w:left w:w="56" w:type="dxa"/>
              <w:bottom w:w="56" w:type="dxa"/>
              <w:right w:w="56" w:type="dxa"/>
            </w:tcMar>
            <w:hideMark/>
          </w:tcPr>
          <w:p w14:paraId="7A22CDE0" w14:textId="77777777" w:rsidR="00077D0B" w:rsidRPr="00077D0B" w:rsidRDefault="00077D0B" w:rsidP="00077D0B">
            <w:pPr>
              <w:rPr>
                <w:rFonts w:ascii="Cambria" w:eastAsia="Times New Roman" w:hAnsi="Cambria" w:cs="Times New Roman"/>
                <w:color w:val="1B1B1B"/>
                <w:kern w:val="0"/>
                <w:sz w:val="26"/>
                <w:szCs w:val="26"/>
                <w14:ligatures w14:val="none"/>
              </w:rPr>
            </w:pPr>
          </w:p>
        </w:tc>
        <w:tc>
          <w:tcPr>
            <w:tcW w:w="0" w:type="auto"/>
            <w:tcMar>
              <w:top w:w="56" w:type="dxa"/>
              <w:left w:w="56" w:type="dxa"/>
              <w:bottom w:w="56" w:type="dxa"/>
              <w:right w:w="56" w:type="dxa"/>
            </w:tcMar>
            <w:hideMark/>
          </w:tcPr>
          <w:p w14:paraId="24410483" w14:textId="77777777" w:rsidR="00077D0B" w:rsidRPr="00077D0B" w:rsidRDefault="00077D0B" w:rsidP="00077D0B">
            <w:pPr>
              <w:rPr>
                <w:rFonts w:ascii="Times New Roman" w:eastAsia="Times New Roman" w:hAnsi="Times New Roman" w:cs="Times New Roman"/>
                <w:b/>
                <w:bCs/>
                <w:kern w:val="0"/>
                <w14:ligatures w14:val="none"/>
              </w:rPr>
            </w:pPr>
            <w:r w:rsidRPr="00077D0B">
              <w:rPr>
                <w:rFonts w:ascii="Times New Roman" w:eastAsia="Times New Roman" w:hAnsi="Times New Roman" w:cs="Times New Roman"/>
                <w:b/>
                <w:bCs/>
                <w:kern w:val="0"/>
                <w14:ligatures w14:val="none"/>
              </w:rPr>
              <w:t>Risk factors</w:t>
            </w:r>
          </w:p>
        </w:tc>
        <w:tc>
          <w:tcPr>
            <w:tcW w:w="3773" w:type="dxa"/>
            <w:tcMar>
              <w:top w:w="56" w:type="dxa"/>
              <w:left w:w="56" w:type="dxa"/>
              <w:bottom w:w="56" w:type="dxa"/>
              <w:right w:w="56" w:type="dxa"/>
            </w:tcMar>
            <w:hideMark/>
          </w:tcPr>
          <w:p w14:paraId="6D56CC0F" w14:textId="77777777" w:rsidR="00077D0B" w:rsidRPr="00077D0B" w:rsidRDefault="00077D0B" w:rsidP="00077D0B">
            <w:pPr>
              <w:rPr>
                <w:rFonts w:ascii="Times New Roman" w:eastAsia="Times New Roman" w:hAnsi="Times New Roman" w:cs="Times New Roman"/>
                <w:b/>
                <w:bCs/>
                <w:kern w:val="0"/>
                <w14:ligatures w14:val="none"/>
              </w:rPr>
            </w:pPr>
            <w:r w:rsidRPr="00077D0B">
              <w:rPr>
                <w:rFonts w:ascii="Times New Roman" w:eastAsia="Times New Roman" w:hAnsi="Times New Roman" w:cs="Times New Roman"/>
                <w:b/>
                <w:bCs/>
                <w:kern w:val="0"/>
                <w14:ligatures w14:val="none"/>
              </w:rPr>
              <w:t>Exposure definition</w:t>
            </w:r>
          </w:p>
        </w:tc>
        <w:tc>
          <w:tcPr>
            <w:tcW w:w="3645" w:type="dxa"/>
            <w:tcMar>
              <w:top w:w="56" w:type="dxa"/>
              <w:left w:w="56" w:type="dxa"/>
              <w:bottom w:w="56" w:type="dxa"/>
              <w:right w:w="56" w:type="dxa"/>
            </w:tcMar>
            <w:hideMark/>
          </w:tcPr>
          <w:p w14:paraId="35DF5DAD" w14:textId="0FC17EB9" w:rsidR="00077D0B" w:rsidRPr="00077D0B" w:rsidRDefault="00077D0B" w:rsidP="00077D0B">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TMREL</w:t>
            </w:r>
          </w:p>
        </w:tc>
      </w:tr>
      <w:tr w:rsidR="00077D0B" w:rsidRPr="00077D0B" w14:paraId="44B92425" w14:textId="77777777" w:rsidTr="00077D0B">
        <w:trPr>
          <w:tblHeader/>
          <w:tblCellSpacing w:w="15" w:type="dxa"/>
        </w:trPr>
        <w:tc>
          <w:tcPr>
            <w:tcW w:w="0" w:type="auto"/>
            <w:tcMar>
              <w:top w:w="56" w:type="dxa"/>
              <w:left w:w="56" w:type="dxa"/>
              <w:bottom w:w="56" w:type="dxa"/>
              <w:right w:w="56" w:type="dxa"/>
            </w:tcMar>
            <w:hideMark/>
          </w:tcPr>
          <w:p w14:paraId="237DAA68" w14:textId="77777777" w:rsidR="00077D0B" w:rsidRPr="00077D0B" w:rsidRDefault="00077D0B" w:rsidP="00077D0B">
            <w:pPr>
              <w:spacing w:before="450"/>
              <w:rPr>
                <w:rFonts w:ascii="Times New Roman" w:eastAsia="Times New Roman" w:hAnsi="Times New Roman" w:cs="Times New Roman"/>
                <w:b/>
                <w:bCs/>
                <w:kern w:val="0"/>
                <w14:ligatures w14:val="none"/>
              </w:rPr>
            </w:pPr>
          </w:p>
        </w:tc>
        <w:tc>
          <w:tcPr>
            <w:tcW w:w="0" w:type="auto"/>
            <w:tcMar>
              <w:top w:w="56" w:type="dxa"/>
              <w:left w:w="56" w:type="dxa"/>
              <w:bottom w:w="56" w:type="dxa"/>
              <w:right w:w="56" w:type="dxa"/>
            </w:tcMar>
            <w:hideMark/>
          </w:tcPr>
          <w:p w14:paraId="26FF2FD3" w14:textId="77777777" w:rsidR="00077D0B" w:rsidRPr="00077D0B" w:rsidRDefault="00077D0B" w:rsidP="00077D0B">
            <w:pPr>
              <w:spacing w:before="450"/>
              <w:jc w:val="center"/>
              <w:rPr>
                <w:rFonts w:ascii="Times New Roman" w:eastAsia="Times New Roman" w:hAnsi="Times New Roman" w:cs="Times New Roman"/>
                <w:kern w:val="0"/>
                <w:sz w:val="20"/>
                <w:szCs w:val="20"/>
                <w14:ligatures w14:val="none"/>
              </w:rPr>
            </w:pPr>
          </w:p>
        </w:tc>
        <w:tc>
          <w:tcPr>
            <w:tcW w:w="3773" w:type="dxa"/>
            <w:tcMar>
              <w:top w:w="56" w:type="dxa"/>
              <w:left w:w="56" w:type="dxa"/>
              <w:bottom w:w="56" w:type="dxa"/>
              <w:right w:w="56" w:type="dxa"/>
            </w:tcMar>
            <w:hideMark/>
          </w:tcPr>
          <w:p w14:paraId="26DA758A" w14:textId="77777777" w:rsidR="00077D0B" w:rsidRPr="00077D0B" w:rsidRDefault="00077D0B" w:rsidP="00077D0B">
            <w:pPr>
              <w:spacing w:before="450"/>
              <w:jc w:val="center"/>
              <w:rPr>
                <w:rFonts w:ascii="Times New Roman" w:eastAsia="Times New Roman" w:hAnsi="Times New Roman" w:cs="Times New Roman"/>
                <w:kern w:val="0"/>
                <w:sz w:val="20"/>
                <w:szCs w:val="20"/>
                <w14:ligatures w14:val="none"/>
              </w:rPr>
            </w:pPr>
          </w:p>
        </w:tc>
        <w:tc>
          <w:tcPr>
            <w:tcW w:w="3645" w:type="dxa"/>
            <w:tcMar>
              <w:top w:w="56" w:type="dxa"/>
              <w:left w:w="56" w:type="dxa"/>
              <w:bottom w:w="56" w:type="dxa"/>
              <w:right w:w="56" w:type="dxa"/>
            </w:tcMar>
            <w:hideMark/>
          </w:tcPr>
          <w:p w14:paraId="25DBF857" w14:textId="77777777" w:rsidR="00077D0B" w:rsidRPr="00077D0B" w:rsidRDefault="00077D0B" w:rsidP="00077D0B">
            <w:pPr>
              <w:spacing w:before="450"/>
              <w:jc w:val="center"/>
              <w:rPr>
                <w:rFonts w:ascii="Times New Roman" w:eastAsia="Times New Roman" w:hAnsi="Times New Roman" w:cs="Times New Roman"/>
                <w:kern w:val="0"/>
                <w:sz w:val="20"/>
                <w:szCs w:val="20"/>
                <w14:ligatures w14:val="none"/>
              </w:rPr>
            </w:pPr>
          </w:p>
        </w:tc>
      </w:tr>
      <w:tr w:rsidR="00077D0B" w:rsidRPr="00077D0B" w14:paraId="2FF0E050" w14:textId="77777777" w:rsidTr="00077D0B">
        <w:trPr>
          <w:tblCellSpacing w:w="15" w:type="dxa"/>
        </w:trPr>
        <w:tc>
          <w:tcPr>
            <w:tcW w:w="0" w:type="auto"/>
            <w:tcMar>
              <w:top w:w="56" w:type="dxa"/>
              <w:left w:w="56" w:type="dxa"/>
              <w:bottom w:w="56" w:type="dxa"/>
              <w:right w:w="56" w:type="dxa"/>
            </w:tcMar>
            <w:hideMark/>
          </w:tcPr>
          <w:p w14:paraId="0DAC727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0</w:t>
            </w:r>
          </w:p>
        </w:tc>
        <w:tc>
          <w:tcPr>
            <w:tcW w:w="0" w:type="auto"/>
            <w:tcMar>
              <w:top w:w="56" w:type="dxa"/>
              <w:left w:w="56" w:type="dxa"/>
              <w:bottom w:w="56" w:type="dxa"/>
              <w:right w:w="56" w:type="dxa"/>
            </w:tcMar>
            <w:hideMark/>
          </w:tcPr>
          <w:p w14:paraId="2BAFFC9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All</w:t>
            </w:r>
          </w:p>
        </w:tc>
        <w:tc>
          <w:tcPr>
            <w:tcW w:w="3773" w:type="dxa"/>
            <w:tcMar>
              <w:top w:w="56" w:type="dxa"/>
              <w:left w:w="56" w:type="dxa"/>
              <w:bottom w:w="56" w:type="dxa"/>
              <w:right w:w="56" w:type="dxa"/>
            </w:tcMar>
            <w:hideMark/>
          </w:tcPr>
          <w:p w14:paraId="197A4A5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0383578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2DB8440E" w14:textId="77777777" w:rsidTr="00077D0B">
        <w:trPr>
          <w:tblCellSpacing w:w="15" w:type="dxa"/>
        </w:trPr>
        <w:tc>
          <w:tcPr>
            <w:tcW w:w="0" w:type="auto"/>
            <w:tcMar>
              <w:top w:w="56" w:type="dxa"/>
              <w:left w:w="56" w:type="dxa"/>
              <w:bottom w:w="56" w:type="dxa"/>
              <w:right w:w="56" w:type="dxa"/>
            </w:tcMar>
            <w:hideMark/>
          </w:tcPr>
          <w:p w14:paraId="46DA1B1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1</w:t>
            </w:r>
          </w:p>
        </w:tc>
        <w:tc>
          <w:tcPr>
            <w:tcW w:w="0" w:type="auto"/>
            <w:tcMar>
              <w:top w:w="56" w:type="dxa"/>
              <w:left w:w="56" w:type="dxa"/>
              <w:bottom w:w="56" w:type="dxa"/>
              <w:right w:w="56" w:type="dxa"/>
            </w:tcMar>
            <w:hideMark/>
          </w:tcPr>
          <w:p w14:paraId="384E9D9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Environmental and occupational risks</w:t>
            </w:r>
          </w:p>
        </w:tc>
        <w:tc>
          <w:tcPr>
            <w:tcW w:w="3773" w:type="dxa"/>
            <w:tcMar>
              <w:top w:w="56" w:type="dxa"/>
              <w:left w:w="56" w:type="dxa"/>
              <w:bottom w:w="56" w:type="dxa"/>
              <w:right w:w="56" w:type="dxa"/>
            </w:tcMar>
            <w:hideMark/>
          </w:tcPr>
          <w:p w14:paraId="3AFFBDC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00218AE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76C232A8" w14:textId="77777777" w:rsidTr="00077D0B">
        <w:trPr>
          <w:tblCellSpacing w:w="15" w:type="dxa"/>
        </w:trPr>
        <w:tc>
          <w:tcPr>
            <w:tcW w:w="0" w:type="auto"/>
            <w:tcMar>
              <w:top w:w="56" w:type="dxa"/>
              <w:left w:w="56" w:type="dxa"/>
              <w:bottom w:w="56" w:type="dxa"/>
              <w:right w:w="56" w:type="dxa"/>
            </w:tcMar>
            <w:hideMark/>
          </w:tcPr>
          <w:p w14:paraId="111797B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51241E0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Unsafe water, sanitation, and handwashing</w:t>
            </w:r>
          </w:p>
        </w:tc>
        <w:tc>
          <w:tcPr>
            <w:tcW w:w="3773" w:type="dxa"/>
            <w:tcMar>
              <w:top w:w="56" w:type="dxa"/>
              <w:left w:w="56" w:type="dxa"/>
              <w:bottom w:w="56" w:type="dxa"/>
              <w:right w:w="56" w:type="dxa"/>
            </w:tcMar>
            <w:hideMark/>
          </w:tcPr>
          <w:p w14:paraId="71A09E2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39E00D1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4C72CAB6" w14:textId="77777777" w:rsidTr="00077D0B">
        <w:trPr>
          <w:tblCellSpacing w:w="15" w:type="dxa"/>
        </w:trPr>
        <w:tc>
          <w:tcPr>
            <w:tcW w:w="0" w:type="auto"/>
            <w:tcMar>
              <w:top w:w="56" w:type="dxa"/>
              <w:left w:w="56" w:type="dxa"/>
              <w:bottom w:w="56" w:type="dxa"/>
              <w:right w:w="56" w:type="dxa"/>
            </w:tcMar>
            <w:hideMark/>
          </w:tcPr>
          <w:p w14:paraId="131E560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DD76C9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Unsafe water source</w:t>
            </w:r>
          </w:p>
        </w:tc>
        <w:tc>
          <w:tcPr>
            <w:tcW w:w="3773" w:type="dxa"/>
            <w:tcMar>
              <w:top w:w="56" w:type="dxa"/>
              <w:left w:w="56" w:type="dxa"/>
              <w:bottom w:w="56" w:type="dxa"/>
              <w:right w:w="56" w:type="dxa"/>
            </w:tcMar>
            <w:hideMark/>
          </w:tcPr>
          <w:p w14:paraId="1C6E989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households with access to different water sources (unimproved, improved except piped, piped water supply) and reported use of household water treatment methods (boiling or filtering, chlorinating or solar filtering, no treatment)</w:t>
            </w:r>
          </w:p>
        </w:tc>
        <w:tc>
          <w:tcPr>
            <w:tcW w:w="3645" w:type="dxa"/>
            <w:tcMar>
              <w:top w:w="56" w:type="dxa"/>
              <w:left w:w="56" w:type="dxa"/>
              <w:bottom w:w="56" w:type="dxa"/>
              <w:right w:w="56" w:type="dxa"/>
            </w:tcMar>
            <w:hideMark/>
          </w:tcPr>
          <w:p w14:paraId="59E1366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households have access to water from a piped water supply that is also boiled or filtered before drinking</w:t>
            </w:r>
          </w:p>
        </w:tc>
      </w:tr>
      <w:tr w:rsidR="00077D0B" w:rsidRPr="00077D0B" w14:paraId="40CFE4F6" w14:textId="77777777" w:rsidTr="00077D0B">
        <w:trPr>
          <w:tblCellSpacing w:w="15" w:type="dxa"/>
        </w:trPr>
        <w:tc>
          <w:tcPr>
            <w:tcW w:w="0" w:type="auto"/>
            <w:tcMar>
              <w:top w:w="56" w:type="dxa"/>
              <w:left w:w="56" w:type="dxa"/>
              <w:bottom w:w="56" w:type="dxa"/>
              <w:right w:w="56" w:type="dxa"/>
            </w:tcMar>
            <w:hideMark/>
          </w:tcPr>
          <w:p w14:paraId="6AD7915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6AEEAB2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Unsafe sanitation</w:t>
            </w:r>
          </w:p>
        </w:tc>
        <w:tc>
          <w:tcPr>
            <w:tcW w:w="3773" w:type="dxa"/>
            <w:tcMar>
              <w:top w:w="56" w:type="dxa"/>
              <w:left w:w="56" w:type="dxa"/>
              <w:bottom w:w="56" w:type="dxa"/>
              <w:right w:w="56" w:type="dxa"/>
            </w:tcMar>
            <w:hideMark/>
          </w:tcPr>
          <w:p w14:paraId="612942E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households with access to different sanitation facilities (unimproved, improved except sewer, sewer connection)</w:t>
            </w:r>
          </w:p>
        </w:tc>
        <w:tc>
          <w:tcPr>
            <w:tcW w:w="3645" w:type="dxa"/>
            <w:tcMar>
              <w:top w:w="56" w:type="dxa"/>
              <w:left w:w="56" w:type="dxa"/>
              <w:bottom w:w="56" w:type="dxa"/>
              <w:right w:w="56" w:type="dxa"/>
            </w:tcMar>
            <w:hideMark/>
          </w:tcPr>
          <w:p w14:paraId="06F846E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households have access to toilets with sewer connection</w:t>
            </w:r>
          </w:p>
        </w:tc>
      </w:tr>
      <w:tr w:rsidR="00077D0B" w:rsidRPr="00077D0B" w14:paraId="4F28496B" w14:textId="77777777" w:rsidTr="00077D0B">
        <w:trPr>
          <w:tblCellSpacing w:w="15" w:type="dxa"/>
        </w:trPr>
        <w:tc>
          <w:tcPr>
            <w:tcW w:w="0" w:type="auto"/>
            <w:tcMar>
              <w:top w:w="56" w:type="dxa"/>
              <w:left w:w="56" w:type="dxa"/>
              <w:bottom w:w="56" w:type="dxa"/>
              <w:right w:w="56" w:type="dxa"/>
            </w:tcMar>
            <w:hideMark/>
          </w:tcPr>
          <w:p w14:paraId="028F88E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78325E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access to handwashing facility</w:t>
            </w:r>
          </w:p>
        </w:tc>
        <w:tc>
          <w:tcPr>
            <w:tcW w:w="3773" w:type="dxa"/>
            <w:tcMar>
              <w:top w:w="56" w:type="dxa"/>
              <w:left w:w="56" w:type="dxa"/>
              <w:bottom w:w="56" w:type="dxa"/>
              <w:right w:w="56" w:type="dxa"/>
            </w:tcMar>
            <w:hideMark/>
          </w:tcPr>
          <w:p w14:paraId="5D5327E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households with access to handwashing facility with soap, water, and wash station</w:t>
            </w:r>
          </w:p>
        </w:tc>
        <w:tc>
          <w:tcPr>
            <w:tcW w:w="3645" w:type="dxa"/>
            <w:tcMar>
              <w:top w:w="56" w:type="dxa"/>
              <w:left w:w="56" w:type="dxa"/>
              <w:bottom w:w="56" w:type="dxa"/>
              <w:right w:w="56" w:type="dxa"/>
            </w:tcMar>
            <w:hideMark/>
          </w:tcPr>
          <w:p w14:paraId="5A2DBC5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households have access to handwashing facility with soap, water, and wash station</w:t>
            </w:r>
          </w:p>
        </w:tc>
      </w:tr>
      <w:tr w:rsidR="00077D0B" w:rsidRPr="00077D0B" w14:paraId="1B529942" w14:textId="77777777" w:rsidTr="00077D0B">
        <w:trPr>
          <w:tblCellSpacing w:w="15" w:type="dxa"/>
        </w:trPr>
        <w:tc>
          <w:tcPr>
            <w:tcW w:w="0" w:type="auto"/>
            <w:tcMar>
              <w:top w:w="56" w:type="dxa"/>
              <w:left w:w="56" w:type="dxa"/>
              <w:bottom w:w="56" w:type="dxa"/>
              <w:right w:w="56" w:type="dxa"/>
            </w:tcMar>
            <w:hideMark/>
          </w:tcPr>
          <w:p w14:paraId="5795714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1B28723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Air pollution</w:t>
            </w:r>
          </w:p>
        </w:tc>
        <w:tc>
          <w:tcPr>
            <w:tcW w:w="3773" w:type="dxa"/>
            <w:tcMar>
              <w:top w:w="56" w:type="dxa"/>
              <w:left w:w="56" w:type="dxa"/>
              <w:bottom w:w="56" w:type="dxa"/>
              <w:right w:w="56" w:type="dxa"/>
            </w:tcMar>
            <w:hideMark/>
          </w:tcPr>
          <w:p w14:paraId="79B34AC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6E488C1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5DEA7B3A" w14:textId="77777777" w:rsidTr="00077D0B">
        <w:trPr>
          <w:tblCellSpacing w:w="15" w:type="dxa"/>
        </w:trPr>
        <w:tc>
          <w:tcPr>
            <w:tcW w:w="0" w:type="auto"/>
            <w:tcMar>
              <w:top w:w="56" w:type="dxa"/>
              <w:left w:w="56" w:type="dxa"/>
              <w:bottom w:w="56" w:type="dxa"/>
              <w:right w:w="56" w:type="dxa"/>
            </w:tcMar>
            <w:hideMark/>
          </w:tcPr>
          <w:p w14:paraId="4ACE2E1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3</w:t>
            </w:r>
          </w:p>
        </w:tc>
        <w:tc>
          <w:tcPr>
            <w:tcW w:w="0" w:type="auto"/>
            <w:tcMar>
              <w:top w:w="56" w:type="dxa"/>
              <w:left w:w="56" w:type="dxa"/>
              <w:bottom w:w="56" w:type="dxa"/>
              <w:right w:w="56" w:type="dxa"/>
            </w:tcMar>
            <w:hideMark/>
          </w:tcPr>
          <w:p w14:paraId="62CB6CF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Ambient particulate matter pollution</w:t>
            </w:r>
          </w:p>
        </w:tc>
        <w:tc>
          <w:tcPr>
            <w:tcW w:w="3773" w:type="dxa"/>
            <w:tcMar>
              <w:top w:w="56" w:type="dxa"/>
              <w:left w:w="56" w:type="dxa"/>
              <w:bottom w:w="56" w:type="dxa"/>
              <w:right w:w="56" w:type="dxa"/>
            </w:tcMar>
            <w:hideMark/>
          </w:tcPr>
          <w:p w14:paraId="3120318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Annual average daily exposure to outdoor air concentrations of PM</w:t>
            </w:r>
            <w:r w:rsidRPr="00077D0B">
              <w:rPr>
                <w:rFonts w:ascii="revert" w:eastAsia="Times New Roman" w:hAnsi="revert" w:cs="Times New Roman"/>
                <w:kern w:val="0"/>
                <w:sz w:val="20"/>
                <w:szCs w:val="20"/>
                <w:vertAlign w:val="subscript"/>
                <w14:ligatures w14:val="none"/>
              </w:rPr>
              <w:t>2·5</w:t>
            </w:r>
          </w:p>
        </w:tc>
        <w:tc>
          <w:tcPr>
            <w:tcW w:w="3645" w:type="dxa"/>
            <w:tcMar>
              <w:top w:w="56" w:type="dxa"/>
              <w:left w:w="56" w:type="dxa"/>
              <w:bottom w:w="56" w:type="dxa"/>
              <w:right w:w="56" w:type="dxa"/>
            </w:tcMar>
            <w:hideMark/>
          </w:tcPr>
          <w:p w14:paraId="3B199E5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Uniform distribution between 2·4 </w:t>
            </w:r>
            <w:proofErr w:type="spellStart"/>
            <w:r w:rsidRPr="00077D0B">
              <w:rPr>
                <w:rFonts w:ascii="Times New Roman" w:eastAsia="Times New Roman" w:hAnsi="Times New Roman" w:cs="Times New Roman"/>
                <w:kern w:val="0"/>
                <w14:ligatures w14:val="none"/>
              </w:rPr>
              <w:t>μg</w:t>
            </w:r>
            <w:proofErr w:type="spellEnd"/>
            <w:r w:rsidRPr="00077D0B">
              <w:rPr>
                <w:rFonts w:ascii="Times New Roman" w:eastAsia="Times New Roman" w:hAnsi="Times New Roman" w:cs="Times New Roman"/>
                <w:kern w:val="0"/>
                <w14:ligatures w14:val="none"/>
              </w:rPr>
              <w:t>/m</w:t>
            </w:r>
            <w:r w:rsidRPr="00077D0B">
              <w:rPr>
                <w:rFonts w:ascii="revert" w:eastAsia="Times New Roman" w:hAnsi="revert" w:cs="Times New Roman"/>
                <w:kern w:val="0"/>
                <w:sz w:val="20"/>
                <w:szCs w:val="20"/>
                <w:vertAlign w:val="superscript"/>
                <w14:ligatures w14:val="none"/>
              </w:rPr>
              <w:t>3</w:t>
            </w:r>
            <w:r w:rsidRPr="00077D0B">
              <w:rPr>
                <w:rFonts w:ascii="Times New Roman" w:eastAsia="Times New Roman" w:hAnsi="Times New Roman" w:cs="Times New Roman"/>
                <w:kern w:val="0"/>
                <w14:ligatures w14:val="none"/>
              </w:rPr>
              <w:t xml:space="preserve"> and 5·9 </w:t>
            </w:r>
            <w:proofErr w:type="spellStart"/>
            <w:r w:rsidRPr="00077D0B">
              <w:rPr>
                <w:rFonts w:ascii="Times New Roman" w:eastAsia="Times New Roman" w:hAnsi="Times New Roman" w:cs="Times New Roman"/>
                <w:kern w:val="0"/>
                <w14:ligatures w14:val="none"/>
              </w:rPr>
              <w:t>μg</w:t>
            </w:r>
            <w:proofErr w:type="spellEnd"/>
            <w:r w:rsidRPr="00077D0B">
              <w:rPr>
                <w:rFonts w:ascii="Times New Roman" w:eastAsia="Times New Roman" w:hAnsi="Times New Roman" w:cs="Times New Roman"/>
                <w:kern w:val="0"/>
                <w14:ligatures w14:val="none"/>
              </w:rPr>
              <w:t>/m</w:t>
            </w:r>
            <w:r w:rsidRPr="00077D0B">
              <w:rPr>
                <w:rFonts w:ascii="revert" w:eastAsia="Times New Roman" w:hAnsi="revert" w:cs="Times New Roman"/>
                <w:kern w:val="0"/>
                <w:sz w:val="20"/>
                <w:szCs w:val="20"/>
                <w:vertAlign w:val="superscript"/>
                <w14:ligatures w14:val="none"/>
              </w:rPr>
              <w:t>3</w:t>
            </w:r>
          </w:p>
        </w:tc>
      </w:tr>
      <w:tr w:rsidR="00077D0B" w:rsidRPr="00077D0B" w14:paraId="13441B18" w14:textId="77777777" w:rsidTr="00077D0B">
        <w:trPr>
          <w:tblCellSpacing w:w="15" w:type="dxa"/>
        </w:trPr>
        <w:tc>
          <w:tcPr>
            <w:tcW w:w="0" w:type="auto"/>
            <w:tcMar>
              <w:top w:w="56" w:type="dxa"/>
              <w:left w:w="56" w:type="dxa"/>
              <w:bottom w:w="56" w:type="dxa"/>
              <w:right w:w="56" w:type="dxa"/>
            </w:tcMar>
            <w:hideMark/>
          </w:tcPr>
          <w:p w14:paraId="078658E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480E7BC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Household air pollution from solid fuels</w:t>
            </w:r>
          </w:p>
        </w:tc>
        <w:tc>
          <w:tcPr>
            <w:tcW w:w="3773" w:type="dxa"/>
            <w:tcMar>
              <w:top w:w="56" w:type="dxa"/>
              <w:left w:w="56" w:type="dxa"/>
              <w:bottom w:w="56" w:type="dxa"/>
              <w:right w:w="56" w:type="dxa"/>
            </w:tcMar>
            <w:hideMark/>
          </w:tcPr>
          <w:p w14:paraId="6EAF488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Individual exposure to PM</w:t>
            </w:r>
            <w:r w:rsidRPr="00077D0B">
              <w:rPr>
                <w:rFonts w:ascii="revert" w:eastAsia="Times New Roman" w:hAnsi="revert" w:cs="Times New Roman"/>
                <w:kern w:val="0"/>
                <w:sz w:val="20"/>
                <w:szCs w:val="20"/>
                <w:vertAlign w:val="subscript"/>
                <w14:ligatures w14:val="none"/>
              </w:rPr>
              <w:t>2·5</w:t>
            </w:r>
            <w:r w:rsidRPr="00077D0B">
              <w:rPr>
                <w:rFonts w:ascii="Times New Roman" w:eastAsia="Times New Roman" w:hAnsi="Times New Roman" w:cs="Times New Roman"/>
                <w:kern w:val="0"/>
                <w14:ligatures w14:val="none"/>
              </w:rPr>
              <w:t> due to use of solid cooking fuels</w:t>
            </w:r>
          </w:p>
        </w:tc>
        <w:tc>
          <w:tcPr>
            <w:tcW w:w="3645" w:type="dxa"/>
            <w:tcMar>
              <w:top w:w="56" w:type="dxa"/>
              <w:left w:w="56" w:type="dxa"/>
              <w:bottom w:w="56" w:type="dxa"/>
              <w:right w:w="56" w:type="dxa"/>
            </w:tcMar>
            <w:hideMark/>
          </w:tcPr>
          <w:p w14:paraId="557F191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households are exposed to excess indoor concentration of particles from solid fuel use (assuming PM</w:t>
            </w:r>
            <w:r w:rsidRPr="00077D0B">
              <w:rPr>
                <w:rFonts w:ascii="revert" w:eastAsia="Times New Roman" w:hAnsi="revert" w:cs="Times New Roman"/>
                <w:kern w:val="0"/>
                <w:sz w:val="20"/>
                <w:szCs w:val="20"/>
                <w:vertAlign w:val="subscript"/>
                <w14:ligatures w14:val="none"/>
              </w:rPr>
              <w:t>2·5</w:t>
            </w:r>
            <w:r w:rsidRPr="00077D0B">
              <w:rPr>
                <w:rFonts w:ascii="Times New Roman" w:eastAsia="Times New Roman" w:hAnsi="Times New Roman" w:cs="Times New Roman"/>
                <w:kern w:val="0"/>
                <w14:ligatures w14:val="none"/>
              </w:rPr>
              <w:t> in no fuel use is consistent with a TMREL of 2·4–5·9)</w:t>
            </w:r>
          </w:p>
        </w:tc>
      </w:tr>
      <w:tr w:rsidR="00077D0B" w:rsidRPr="00077D0B" w14:paraId="215235FD" w14:textId="77777777" w:rsidTr="00077D0B">
        <w:trPr>
          <w:tblCellSpacing w:w="15" w:type="dxa"/>
        </w:trPr>
        <w:tc>
          <w:tcPr>
            <w:tcW w:w="0" w:type="auto"/>
            <w:tcMar>
              <w:top w:w="56" w:type="dxa"/>
              <w:left w:w="56" w:type="dxa"/>
              <w:bottom w:w="56" w:type="dxa"/>
              <w:right w:w="56" w:type="dxa"/>
            </w:tcMar>
            <w:hideMark/>
          </w:tcPr>
          <w:p w14:paraId="36D02E0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6B819E5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Ambient ozone pollution</w:t>
            </w:r>
          </w:p>
        </w:tc>
        <w:tc>
          <w:tcPr>
            <w:tcW w:w="3773" w:type="dxa"/>
            <w:tcMar>
              <w:top w:w="56" w:type="dxa"/>
              <w:left w:w="56" w:type="dxa"/>
              <w:bottom w:w="56" w:type="dxa"/>
              <w:right w:w="56" w:type="dxa"/>
            </w:tcMar>
            <w:hideMark/>
          </w:tcPr>
          <w:p w14:paraId="66A5A3B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Seasonal (3 month) hourly maximum ozone concentrations, measured in ppb</w:t>
            </w:r>
          </w:p>
        </w:tc>
        <w:tc>
          <w:tcPr>
            <w:tcW w:w="3645" w:type="dxa"/>
            <w:tcMar>
              <w:top w:w="56" w:type="dxa"/>
              <w:left w:w="56" w:type="dxa"/>
              <w:bottom w:w="56" w:type="dxa"/>
              <w:right w:w="56" w:type="dxa"/>
            </w:tcMar>
            <w:hideMark/>
          </w:tcPr>
          <w:p w14:paraId="7B85767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Uniform distribution between 33·3 </w:t>
            </w:r>
            <w:proofErr w:type="spellStart"/>
            <w:r w:rsidRPr="00077D0B">
              <w:rPr>
                <w:rFonts w:ascii="Times New Roman" w:eastAsia="Times New Roman" w:hAnsi="Times New Roman" w:cs="Times New Roman"/>
                <w:kern w:val="0"/>
                <w14:ligatures w14:val="none"/>
              </w:rPr>
              <w:t>μg</w:t>
            </w:r>
            <w:proofErr w:type="spellEnd"/>
            <w:r w:rsidRPr="00077D0B">
              <w:rPr>
                <w:rFonts w:ascii="Times New Roman" w:eastAsia="Times New Roman" w:hAnsi="Times New Roman" w:cs="Times New Roman"/>
                <w:kern w:val="0"/>
                <w14:ligatures w14:val="none"/>
              </w:rPr>
              <w:t>/m</w:t>
            </w:r>
            <w:r w:rsidRPr="00077D0B">
              <w:rPr>
                <w:rFonts w:ascii="revert" w:eastAsia="Times New Roman" w:hAnsi="revert" w:cs="Times New Roman"/>
                <w:kern w:val="0"/>
                <w:sz w:val="20"/>
                <w:szCs w:val="20"/>
                <w:vertAlign w:val="superscript"/>
                <w14:ligatures w14:val="none"/>
              </w:rPr>
              <w:t>3</w:t>
            </w:r>
            <w:r w:rsidRPr="00077D0B">
              <w:rPr>
                <w:rFonts w:ascii="Times New Roman" w:eastAsia="Times New Roman" w:hAnsi="Times New Roman" w:cs="Times New Roman"/>
                <w:kern w:val="0"/>
                <w14:ligatures w14:val="none"/>
              </w:rPr>
              <w:t xml:space="preserve"> and 41·9 </w:t>
            </w:r>
            <w:proofErr w:type="spellStart"/>
            <w:r w:rsidRPr="00077D0B">
              <w:rPr>
                <w:rFonts w:ascii="Times New Roman" w:eastAsia="Times New Roman" w:hAnsi="Times New Roman" w:cs="Times New Roman"/>
                <w:kern w:val="0"/>
                <w14:ligatures w14:val="none"/>
              </w:rPr>
              <w:t>μg</w:t>
            </w:r>
            <w:proofErr w:type="spellEnd"/>
            <w:r w:rsidRPr="00077D0B">
              <w:rPr>
                <w:rFonts w:ascii="Times New Roman" w:eastAsia="Times New Roman" w:hAnsi="Times New Roman" w:cs="Times New Roman"/>
                <w:kern w:val="0"/>
                <w14:ligatures w14:val="none"/>
              </w:rPr>
              <w:t>/m</w:t>
            </w:r>
            <w:r w:rsidRPr="00077D0B">
              <w:rPr>
                <w:rFonts w:ascii="revert" w:eastAsia="Times New Roman" w:hAnsi="revert" w:cs="Times New Roman"/>
                <w:kern w:val="0"/>
                <w:sz w:val="20"/>
                <w:szCs w:val="20"/>
                <w:vertAlign w:val="superscript"/>
                <w14:ligatures w14:val="none"/>
              </w:rPr>
              <w:t>3</w:t>
            </w:r>
            <w:r w:rsidRPr="00077D0B">
              <w:rPr>
                <w:rFonts w:ascii="Times New Roman" w:eastAsia="Times New Roman" w:hAnsi="Times New Roman" w:cs="Times New Roman"/>
                <w:kern w:val="0"/>
                <w14:ligatures w14:val="none"/>
              </w:rPr>
              <w:t>, according to minimum/5th percent concentrations</w:t>
            </w:r>
          </w:p>
        </w:tc>
      </w:tr>
      <w:tr w:rsidR="00077D0B" w:rsidRPr="00077D0B" w14:paraId="47D8C08A" w14:textId="77777777" w:rsidTr="00077D0B">
        <w:trPr>
          <w:tblCellSpacing w:w="15" w:type="dxa"/>
        </w:trPr>
        <w:tc>
          <w:tcPr>
            <w:tcW w:w="0" w:type="auto"/>
            <w:tcMar>
              <w:top w:w="56" w:type="dxa"/>
              <w:left w:w="56" w:type="dxa"/>
              <w:bottom w:w="56" w:type="dxa"/>
              <w:right w:w="56" w:type="dxa"/>
            </w:tcMar>
            <w:hideMark/>
          </w:tcPr>
          <w:p w14:paraId="69EDFE8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6A4A762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Other environmental risks</w:t>
            </w:r>
          </w:p>
        </w:tc>
        <w:tc>
          <w:tcPr>
            <w:tcW w:w="3773" w:type="dxa"/>
            <w:tcMar>
              <w:top w:w="56" w:type="dxa"/>
              <w:left w:w="56" w:type="dxa"/>
              <w:bottom w:w="56" w:type="dxa"/>
              <w:right w:w="56" w:type="dxa"/>
            </w:tcMar>
            <w:hideMark/>
          </w:tcPr>
          <w:p w14:paraId="45A3B2B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340B528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06F951FD" w14:textId="77777777" w:rsidTr="00077D0B">
        <w:trPr>
          <w:tblCellSpacing w:w="15" w:type="dxa"/>
        </w:trPr>
        <w:tc>
          <w:tcPr>
            <w:tcW w:w="0" w:type="auto"/>
            <w:tcMar>
              <w:top w:w="56" w:type="dxa"/>
              <w:left w:w="56" w:type="dxa"/>
              <w:bottom w:w="56" w:type="dxa"/>
              <w:right w:w="56" w:type="dxa"/>
            </w:tcMar>
            <w:hideMark/>
          </w:tcPr>
          <w:p w14:paraId="615F400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1E283AD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Residential radon</w:t>
            </w:r>
          </w:p>
        </w:tc>
        <w:tc>
          <w:tcPr>
            <w:tcW w:w="3773" w:type="dxa"/>
            <w:tcMar>
              <w:top w:w="56" w:type="dxa"/>
              <w:left w:w="56" w:type="dxa"/>
              <w:bottom w:w="56" w:type="dxa"/>
              <w:right w:w="56" w:type="dxa"/>
            </w:tcMar>
            <w:hideMark/>
          </w:tcPr>
          <w:p w14:paraId="08660BF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Average daily exposure to indoor air radon levels measured in becquerels (radon disintegrations per second) per cubic </w:t>
            </w:r>
            <w:proofErr w:type="spellStart"/>
            <w:r w:rsidRPr="00077D0B">
              <w:rPr>
                <w:rFonts w:ascii="Times New Roman" w:eastAsia="Times New Roman" w:hAnsi="Times New Roman" w:cs="Times New Roman"/>
                <w:kern w:val="0"/>
                <w14:ligatures w14:val="none"/>
              </w:rPr>
              <w:t>metre</w:t>
            </w:r>
            <w:proofErr w:type="spellEnd"/>
            <w:r w:rsidRPr="00077D0B">
              <w:rPr>
                <w:rFonts w:ascii="Times New Roman" w:eastAsia="Times New Roman" w:hAnsi="Times New Roman" w:cs="Times New Roman"/>
                <w:kern w:val="0"/>
                <w14:ligatures w14:val="none"/>
              </w:rPr>
              <w:t xml:space="preserve"> (</w:t>
            </w:r>
            <w:proofErr w:type="spellStart"/>
            <w:r w:rsidRPr="00077D0B">
              <w:rPr>
                <w:rFonts w:ascii="Times New Roman" w:eastAsia="Times New Roman" w:hAnsi="Times New Roman" w:cs="Times New Roman"/>
                <w:kern w:val="0"/>
                <w14:ligatures w14:val="none"/>
              </w:rPr>
              <w:t>Bq</w:t>
            </w:r>
            <w:proofErr w:type="spellEnd"/>
            <w:r w:rsidRPr="00077D0B">
              <w:rPr>
                <w:rFonts w:ascii="Times New Roman" w:eastAsia="Times New Roman" w:hAnsi="Times New Roman" w:cs="Times New Roman"/>
                <w:kern w:val="0"/>
                <w14:ligatures w14:val="none"/>
              </w:rPr>
              <w:t>/m</w:t>
            </w:r>
            <w:r w:rsidRPr="00077D0B">
              <w:rPr>
                <w:rFonts w:ascii="revert" w:eastAsia="Times New Roman" w:hAnsi="revert" w:cs="Times New Roman"/>
                <w:kern w:val="0"/>
                <w:sz w:val="20"/>
                <w:szCs w:val="20"/>
                <w:vertAlign w:val="superscript"/>
                <w14:ligatures w14:val="none"/>
              </w:rPr>
              <w:t>3</w:t>
            </w:r>
            <w:r w:rsidRPr="00077D0B">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4DE5F5F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10 </w:t>
            </w:r>
            <w:proofErr w:type="spellStart"/>
            <w:r w:rsidRPr="00077D0B">
              <w:rPr>
                <w:rFonts w:ascii="Times New Roman" w:eastAsia="Times New Roman" w:hAnsi="Times New Roman" w:cs="Times New Roman"/>
                <w:kern w:val="0"/>
                <w14:ligatures w14:val="none"/>
              </w:rPr>
              <w:t>Bq</w:t>
            </w:r>
            <w:proofErr w:type="spellEnd"/>
            <w:r w:rsidRPr="00077D0B">
              <w:rPr>
                <w:rFonts w:ascii="Times New Roman" w:eastAsia="Times New Roman" w:hAnsi="Times New Roman" w:cs="Times New Roman"/>
                <w:kern w:val="0"/>
                <w14:ligatures w14:val="none"/>
              </w:rPr>
              <w:t>/m</w:t>
            </w:r>
            <w:r w:rsidRPr="00077D0B">
              <w:rPr>
                <w:rFonts w:ascii="revert" w:eastAsia="Times New Roman" w:hAnsi="revert" w:cs="Times New Roman"/>
                <w:kern w:val="0"/>
                <w:sz w:val="20"/>
                <w:szCs w:val="20"/>
                <w:vertAlign w:val="superscript"/>
                <w14:ligatures w14:val="none"/>
              </w:rPr>
              <w:t>3</w:t>
            </w:r>
            <w:r w:rsidRPr="00077D0B">
              <w:rPr>
                <w:rFonts w:ascii="Times New Roman" w:eastAsia="Times New Roman" w:hAnsi="Times New Roman" w:cs="Times New Roman"/>
                <w:kern w:val="0"/>
                <w14:ligatures w14:val="none"/>
              </w:rPr>
              <w:t>, corresponding to the outdoor concentration of radon</w:t>
            </w:r>
          </w:p>
        </w:tc>
      </w:tr>
      <w:tr w:rsidR="00077D0B" w:rsidRPr="00077D0B" w14:paraId="01361D20" w14:textId="77777777" w:rsidTr="00077D0B">
        <w:trPr>
          <w:tblCellSpacing w:w="15" w:type="dxa"/>
        </w:trPr>
        <w:tc>
          <w:tcPr>
            <w:tcW w:w="0" w:type="auto"/>
            <w:tcMar>
              <w:top w:w="56" w:type="dxa"/>
              <w:left w:w="56" w:type="dxa"/>
              <w:bottom w:w="56" w:type="dxa"/>
              <w:right w:w="56" w:type="dxa"/>
            </w:tcMar>
            <w:hideMark/>
          </w:tcPr>
          <w:p w14:paraId="25CAF99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6D6669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Lead exposure</w:t>
            </w:r>
          </w:p>
        </w:tc>
        <w:tc>
          <w:tcPr>
            <w:tcW w:w="3773" w:type="dxa"/>
            <w:tcMar>
              <w:top w:w="56" w:type="dxa"/>
              <w:left w:w="56" w:type="dxa"/>
              <w:bottom w:w="56" w:type="dxa"/>
              <w:right w:w="56" w:type="dxa"/>
            </w:tcMar>
            <w:hideMark/>
          </w:tcPr>
          <w:p w14:paraId="1A2B241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Blood </w:t>
            </w:r>
            <w:proofErr w:type="gramStart"/>
            <w:r w:rsidRPr="00077D0B">
              <w:rPr>
                <w:rFonts w:ascii="Times New Roman" w:eastAsia="Times New Roman" w:hAnsi="Times New Roman" w:cs="Times New Roman"/>
                <w:kern w:val="0"/>
                <w14:ligatures w14:val="none"/>
              </w:rPr>
              <w:t>lead</w:t>
            </w:r>
            <w:proofErr w:type="gramEnd"/>
            <w:r w:rsidRPr="00077D0B">
              <w:rPr>
                <w:rFonts w:ascii="Times New Roman" w:eastAsia="Times New Roman" w:hAnsi="Times New Roman" w:cs="Times New Roman"/>
                <w:kern w:val="0"/>
                <w14:ligatures w14:val="none"/>
              </w:rPr>
              <w:t xml:space="preserve"> levels in </w:t>
            </w:r>
            <w:proofErr w:type="spellStart"/>
            <w:r w:rsidRPr="00077D0B">
              <w:rPr>
                <w:rFonts w:ascii="Times New Roman" w:eastAsia="Times New Roman" w:hAnsi="Times New Roman" w:cs="Times New Roman"/>
                <w:kern w:val="0"/>
                <w14:ligatures w14:val="none"/>
              </w:rPr>
              <w:t>μg</w:t>
            </w:r>
            <w:proofErr w:type="spellEnd"/>
            <w:r w:rsidRPr="00077D0B">
              <w:rPr>
                <w:rFonts w:ascii="Times New Roman" w:eastAsia="Times New Roman" w:hAnsi="Times New Roman" w:cs="Times New Roman"/>
                <w:kern w:val="0"/>
                <w14:ligatures w14:val="none"/>
              </w:rPr>
              <w:t xml:space="preserve">/dL of blood, bone lead levels in </w:t>
            </w:r>
            <w:proofErr w:type="spellStart"/>
            <w:r w:rsidRPr="00077D0B">
              <w:rPr>
                <w:rFonts w:ascii="Times New Roman" w:eastAsia="Times New Roman" w:hAnsi="Times New Roman" w:cs="Times New Roman"/>
                <w:kern w:val="0"/>
                <w14:ligatures w14:val="none"/>
              </w:rPr>
              <w:t>μg</w:t>
            </w:r>
            <w:proofErr w:type="spellEnd"/>
            <w:r w:rsidRPr="00077D0B">
              <w:rPr>
                <w:rFonts w:ascii="Times New Roman" w:eastAsia="Times New Roman" w:hAnsi="Times New Roman" w:cs="Times New Roman"/>
                <w:kern w:val="0"/>
                <w14:ligatures w14:val="none"/>
              </w:rPr>
              <w:t>/g of bone</w:t>
            </w:r>
          </w:p>
        </w:tc>
        <w:tc>
          <w:tcPr>
            <w:tcW w:w="3645" w:type="dxa"/>
            <w:tcMar>
              <w:top w:w="56" w:type="dxa"/>
              <w:left w:w="56" w:type="dxa"/>
              <w:bottom w:w="56" w:type="dxa"/>
              <w:right w:w="56" w:type="dxa"/>
            </w:tcMar>
            <w:hideMark/>
          </w:tcPr>
          <w:p w14:paraId="04149A3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 ug/dL, corresponding to lead levels in pre-industrial humans as natural sources of lead prevent the feasibility of zero exposure</w:t>
            </w:r>
          </w:p>
        </w:tc>
      </w:tr>
      <w:tr w:rsidR="00077D0B" w:rsidRPr="00077D0B" w14:paraId="0A7DC503" w14:textId="77777777" w:rsidTr="00077D0B">
        <w:trPr>
          <w:tblCellSpacing w:w="15" w:type="dxa"/>
        </w:trPr>
        <w:tc>
          <w:tcPr>
            <w:tcW w:w="0" w:type="auto"/>
            <w:tcMar>
              <w:top w:w="56" w:type="dxa"/>
              <w:left w:w="56" w:type="dxa"/>
              <w:bottom w:w="56" w:type="dxa"/>
              <w:right w:w="56" w:type="dxa"/>
            </w:tcMar>
            <w:hideMark/>
          </w:tcPr>
          <w:p w14:paraId="140804F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12B2E48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Occupational risks</w:t>
            </w:r>
          </w:p>
        </w:tc>
        <w:tc>
          <w:tcPr>
            <w:tcW w:w="3773" w:type="dxa"/>
            <w:tcMar>
              <w:top w:w="56" w:type="dxa"/>
              <w:left w:w="56" w:type="dxa"/>
              <w:bottom w:w="56" w:type="dxa"/>
              <w:right w:w="56" w:type="dxa"/>
            </w:tcMar>
            <w:hideMark/>
          </w:tcPr>
          <w:p w14:paraId="73F6C76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5D4BC7B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4D89A150" w14:textId="77777777" w:rsidTr="00077D0B">
        <w:trPr>
          <w:tblCellSpacing w:w="15" w:type="dxa"/>
        </w:trPr>
        <w:tc>
          <w:tcPr>
            <w:tcW w:w="0" w:type="auto"/>
            <w:tcMar>
              <w:top w:w="56" w:type="dxa"/>
              <w:left w:w="56" w:type="dxa"/>
              <w:bottom w:w="56" w:type="dxa"/>
              <w:right w:w="56" w:type="dxa"/>
            </w:tcMar>
            <w:hideMark/>
          </w:tcPr>
          <w:p w14:paraId="15FBBCA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5817E8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carcinogens</w:t>
            </w:r>
          </w:p>
        </w:tc>
        <w:tc>
          <w:tcPr>
            <w:tcW w:w="3773" w:type="dxa"/>
            <w:tcMar>
              <w:top w:w="56" w:type="dxa"/>
              <w:left w:w="56" w:type="dxa"/>
              <w:bottom w:w="56" w:type="dxa"/>
              <w:right w:w="56" w:type="dxa"/>
            </w:tcMar>
            <w:hideMark/>
          </w:tcPr>
          <w:p w14:paraId="03E0DB4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6449674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r>
      <w:tr w:rsidR="00077D0B" w:rsidRPr="00077D0B" w14:paraId="6CAE5ACF" w14:textId="77777777" w:rsidTr="00077D0B">
        <w:trPr>
          <w:tblCellSpacing w:w="15" w:type="dxa"/>
        </w:trPr>
        <w:tc>
          <w:tcPr>
            <w:tcW w:w="0" w:type="auto"/>
            <w:tcMar>
              <w:top w:w="56" w:type="dxa"/>
              <w:left w:w="56" w:type="dxa"/>
              <w:bottom w:w="56" w:type="dxa"/>
              <w:right w:w="56" w:type="dxa"/>
            </w:tcMar>
            <w:hideMark/>
          </w:tcPr>
          <w:p w14:paraId="33FE45D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4</w:t>
            </w:r>
          </w:p>
        </w:tc>
        <w:tc>
          <w:tcPr>
            <w:tcW w:w="0" w:type="auto"/>
            <w:tcMar>
              <w:top w:w="56" w:type="dxa"/>
              <w:left w:w="56" w:type="dxa"/>
              <w:bottom w:w="56" w:type="dxa"/>
              <w:right w:w="56" w:type="dxa"/>
            </w:tcMar>
            <w:hideMark/>
          </w:tcPr>
          <w:p w14:paraId="3CC92EE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asbestos</w:t>
            </w:r>
          </w:p>
        </w:tc>
        <w:tc>
          <w:tcPr>
            <w:tcW w:w="3773" w:type="dxa"/>
            <w:tcMar>
              <w:top w:w="56" w:type="dxa"/>
              <w:left w:w="56" w:type="dxa"/>
              <w:bottom w:w="56" w:type="dxa"/>
              <w:right w:w="56" w:type="dxa"/>
            </w:tcMar>
            <w:hideMark/>
          </w:tcPr>
          <w:p w14:paraId="0D1934C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with cumulative exposure to asbestos</w:t>
            </w:r>
          </w:p>
        </w:tc>
        <w:tc>
          <w:tcPr>
            <w:tcW w:w="3645" w:type="dxa"/>
            <w:tcMar>
              <w:top w:w="56" w:type="dxa"/>
              <w:left w:w="56" w:type="dxa"/>
              <w:bottom w:w="56" w:type="dxa"/>
              <w:right w:w="56" w:type="dxa"/>
            </w:tcMar>
            <w:hideMark/>
          </w:tcPr>
          <w:p w14:paraId="1B0B70F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asbestos</w:t>
            </w:r>
          </w:p>
        </w:tc>
      </w:tr>
      <w:tr w:rsidR="00077D0B" w:rsidRPr="00077D0B" w14:paraId="5CAEA9E9" w14:textId="77777777" w:rsidTr="00077D0B">
        <w:trPr>
          <w:tblCellSpacing w:w="15" w:type="dxa"/>
        </w:trPr>
        <w:tc>
          <w:tcPr>
            <w:tcW w:w="0" w:type="auto"/>
            <w:tcMar>
              <w:top w:w="56" w:type="dxa"/>
              <w:left w:w="56" w:type="dxa"/>
              <w:bottom w:w="56" w:type="dxa"/>
              <w:right w:w="56" w:type="dxa"/>
            </w:tcMar>
            <w:hideMark/>
          </w:tcPr>
          <w:p w14:paraId="77DEAEB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34E14B2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arsenic</w:t>
            </w:r>
          </w:p>
        </w:tc>
        <w:tc>
          <w:tcPr>
            <w:tcW w:w="3773" w:type="dxa"/>
            <w:tcMar>
              <w:top w:w="56" w:type="dxa"/>
              <w:left w:w="56" w:type="dxa"/>
              <w:bottom w:w="56" w:type="dxa"/>
              <w:right w:w="56" w:type="dxa"/>
            </w:tcMar>
            <w:hideMark/>
          </w:tcPr>
          <w:p w14:paraId="420D7C6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arsenic at work or through their occupation</w:t>
            </w:r>
          </w:p>
        </w:tc>
        <w:tc>
          <w:tcPr>
            <w:tcW w:w="3645" w:type="dxa"/>
            <w:tcMar>
              <w:top w:w="56" w:type="dxa"/>
              <w:left w:w="56" w:type="dxa"/>
              <w:bottom w:w="56" w:type="dxa"/>
              <w:right w:w="56" w:type="dxa"/>
            </w:tcMar>
            <w:hideMark/>
          </w:tcPr>
          <w:p w14:paraId="1A693AD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arsenic</w:t>
            </w:r>
          </w:p>
        </w:tc>
      </w:tr>
      <w:tr w:rsidR="00077D0B" w:rsidRPr="00077D0B" w14:paraId="340B547A" w14:textId="77777777" w:rsidTr="00077D0B">
        <w:trPr>
          <w:tblCellSpacing w:w="15" w:type="dxa"/>
        </w:trPr>
        <w:tc>
          <w:tcPr>
            <w:tcW w:w="0" w:type="auto"/>
            <w:tcMar>
              <w:top w:w="56" w:type="dxa"/>
              <w:left w:w="56" w:type="dxa"/>
              <w:bottom w:w="56" w:type="dxa"/>
              <w:right w:w="56" w:type="dxa"/>
            </w:tcMar>
            <w:hideMark/>
          </w:tcPr>
          <w:p w14:paraId="33B9309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628A5F6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benzene</w:t>
            </w:r>
          </w:p>
        </w:tc>
        <w:tc>
          <w:tcPr>
            <w:tcW w:w="3773" w:type="dxa"/>
            <w:tcMar>
              <w:top w:w="56" w:type="dxa"/>
              <w:left w:w="56" w:type="dxa"/>
              <w:bottom w:w="56" w:type="dxa"/>
              <w:right w:w="56" w:type="dxa"/>
            </w:tcMar>
            <w:hideMark/>
          </w:tcPr>
          <w:p w14:paraId="717BF6D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benzene at work or through their occupation</w:t>
            </w:r>
          </w:p>
        </w:tc>
        <w:tc>
          <w:tcPr>
            <w:tcW w:w="3645" w:type="dxa"/>
            <w:tcMar>
              <w:top w:w="56" w:type="dxa"/>
              <w:left w:w="56" w:type="dxa"/>
              <w:bottom w:w="56" w:type="dxa"/>
              <w:right w:w="56" w:type="dxa"/>
            </w:tcMar>
            <w:hideMark/>
          </w:tcPr>
          <w:p w14:paraId="3BB9AE4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benzene</w:t>
            </w:r>
          </w:p>
        </w:tc>
      </w:tr>
      <w:tr w:rsidR="00077D0B" w:rsidRPr="00077D0B" w14:paraId="16DFD20F" w14:textId="77777777" w:rsidTr="00077D0B">
        <w:trPr>
          <w:tblCellSpacing w:w="15" w:type="dxa"/>
        </w:trPr>
        <w:tc>
          <w:tcPr>
            <w:tcW w:w="0" w:type="auto"/>
            <w:tcMar>
              <w:top w:w="56" w:type="dxa"/>
              <w:left w:w="56" w:type="dxa"/>
              <w:bottom w:w="56" w:type="dxa"/>
              <w:right w:w="56" w:type="dxa"/>
            </w:tcMar>
            <w:hideMark/>
          </w:tcPr>
          <w:p w14:paraId="31B4999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78745A4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beryllium</w:t>
            </w:r>
          </w:p>
        </w:tc>
        <w:tc>
          <w:tcPr>
            <w:tcW w:w="3773" w:type="dxa"/>
            <w:tcMar>
              <w:top w:w="56" w:type="dxa"/>
              <w:left w:w="56" w:type="dxa"/>
              <w:bottom w:w="56" w:type="dxa"/>
              <w:right w:w="56" w:type="dxa"/>
            </w:tcMar>
            <w:hideMark/>
          </w:tcPr>
          <w:p w14:paraId="22B8CA7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beryllium at work or through their occupation</w:t>
            </w:r>
          </w:p>
        </w:tc>
        <w:tc>
          <w:tcPr>
            <w:tcW w:w="3645" w:type="dxa"/>
            <w:tcMar>
              <w:top w:w="56" w:type="dxa"/>
              <w:left w:w="56" w:type="dxa"/>
              <w:bottom w:w="56" w:type="dxa"/>
              <w:right w:w="56" w:type="dxa"/>
            </w:tcMar>
            <w:hideMark/>
          </w:tcPr>
          <w:p w14:paraId="263AE06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beryllium</w:t>
            </w:r>
          </w:p>
        </w:tc>
      </w:tr>
      <w:tr w:rsidR="00077D0B" w:rsidRPr="00077D0B" w14:paraId="380D0450" w14:textId="77777777" w:rsidTr="00077D0B">
        <w:trPr>
          <w:tblCellSpacing w:w="15" w:type="dxa"/>
        </w:trPr>
        <w:tc>
          <w:tcPr>
            <w:tcW w:w="0" w:type="auto"/>
            <w:tcMar>
              <w:top w:w="56" w:type="dxa"/>
              <w:left w:w="56" w:type="dxa"/>
              <w:bottom w:w="56" w:type="dxa"/>
              <w:right w:w="56" w:type="dxa"/>
            </w:tcMar>
            <w:hideMark/>
          </w:tcPr>
          <w:p w14:paraId="238A511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0C555EF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cadmium</w:t>
            </w:r>
          </w:p>
        </w:tc>
        <w:tc>
          <w:tcPr>
            <w:tcW w:w="3773" w:type="dxa"/>
            <w:tcMar>
              <w:top w:w="56" w:type="dxa"/>
              <w:left w:w="56" w:type="dxa"/>
              <w:bottom w:w="56" w:type="dxa"/>
              <w:right w:w="56" w:type="dxa"/>
            </w:tcMar>
            <w:hideMark/>
          </w:tcPr>
          <w:p w14:paraId="4229A08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cadmium at work or through their occupation</w:t>
            </w:r>
          </w:p>
        </w:tc>
        <w:tc>
          <w:tcPr>
            <w:tcW w:w="3645" w:type="dxa"/>
            <w:tcMar>
              <w:top w:w="56" w:type="dxa"/>
              <w:left w:w="56" w:type="dxa"/>
              <w:bottom w:w="56" w:type="dxa"/>
              <w:right w:w="56" w:type="dxa"/>
            </w:tcMar>
            <w:hideMark/>
          </w:tcPr>
          <w:p w14:paraId="5200DAC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cadmium</w:t>
            </w:r>
          </w:p>
        </w:tc>
      </w:tr>
      <w:tr w:rsidR="00077D0B" w:rsidRPr="00077D0B" w14:paraId="12B134CA" w14:textId="77777777" w:rsidTr="00077D0B">
        <w:trPr>
          <w:tblCellSpacing w:w="15" w:type="dxa"/>
        </w:trPr>
        <w:tc>
          <w:tcPr>
            <w:tcW w:w="0" w:type="auto"/>
            <w:tcMar>
              <w:top w:w="56" w:type="dxa"/>
              <w:left w:w="56" w:type="dxa"/>
              <w:bottom w:w="56" w:type="dxa"/>
              <w:right w:w="56" w:type="dxa"/>
            </w:tcMar>
            <w:hideMark/>
          </w:tcPr>
          <w:p w14:paraId="666B44D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3C3C7C1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chromium</w:t>
            </w:r>
          </w:p>
        </w:tc>
        <w:tc>
          <w:tcPr>
            <w:tcW w:w="3773" w:type="dxa"/>
            <w:tcMar>
              <w:top w:w="56" w:type="dxa"/>
              <w:left w:w="56" w:type="dxa"/>
              <w:bottom w:w="56" w:type="dxa"/>
              <w:right w:w="56" w:type="dxa"/>
            </w:tcMar>
            <w:hideMark/>
          </w:tcPr>
          <w:p w14:paraId="7770661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chromium at work or through their occupation</w:t>
            </w:r>
          </w:p>
        </w:tc>
        <w:tc>
          <w:tcPr>
            <w:tcW w:w="3645" w:type="dxa"/>
            <w:tcMar>
              <w:top w:w="56" w:type="dxa"/>
              <w:left w:w="56" w:type="dxa"/>
              <w:bottom w:w="56" w:type="dxa"/>
              <w:right w:w="56" w:type="dxa"/>
            </w:tcMar>
            <w:hideMark/>
          </w:tcPr>
          <w:p w14:paraId="2E09C9B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chromium</w:t>
            </w:r>
          </w:p>
        </w:tc>
      </w:tr>
      <w:tr w:rsidR="00077D0B" w:rsidRPr="00077D0B" w14:paraId="1CDDAA89" w14:textId="77777777" w:rsidTr="00077D0B">
        <w:trPr>
          <w:tblCellSpacing w:w="15" w:type="dxa"/>
        </w:trPr>
        <w:tc>
          <w:tcPr>
            <w:tcW w:w="0" w:type="auto"/>
            <w:tcMar>
              <w:top w:w="56" w:type="dxa"/>
              <w:left w:w="56" w:type="dxa"/>
              <w:bottom w:w="56" w:type="dxa"/>
              <w:right w:w="56" w:type="dxa"/>
            </w:tcMar>
            <w:hideMark/>
          </w:tcPr>
          <w:p w14:paraId="3342E97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29029FD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diesel engine exhaust</w:t>
            </w:r>
          </w:p>
        </w:tc>
        <w:tc>
          <w:tcPr>
            <w:tcW w:w="3773" w:type="dxa"/>
            <w:tcMar>
              <w:top w:w="56" w:type="dxa"/>
              <w:left w:w="56" w:type="dxa"/>
              <w:bottom w:w="56" w:type="dxa"/>
              <w:right w:w="56" w:type="dxa"/>
            </w:tcMar>
            <w:hideMark/>
          </w:tcPr>
          <w:p w14:paraId="64BBDF3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diesel engine exhaust at work or through their occupation</w:t>
            </w:r>
          </w:p>
        </w:tc>
        <w:tc>
          <w:tcPr>
            <w:tcW w:w="3645" w:type="dxa"/>
            <w:tcMar>
              <w:top w:w="56" w:type="dxa"/>
              <w:left w:w="56" w:type="dxa"/>
              <w:bottom w:w="56" w:type="dxa"/>
              <w:right w:w="56" w:type="dxa"/>
            </w:tcMar>
            <w:hideMark/>
          </w:tcPr>
          <w:p w14:paraId="16700DF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diesel engine exhaust</w:t>
            </w:r>
          </w:p>
        </w:tc>
      </w:tr>
      <w:tr w:rsidR="00077D0B" w:rsidRPr="00077D0B" w14:paraId="52381E92" w14:textId="77777777" w:rsidTr="00077D0B">
        <w:trPr>
          <w:tblCellSpacing w:w="15" w:type="dxa"/>
        </w:trPr>
        <w:tc>
          <w:tcPr>
            <w:tcW w:w="0" w:type="auto"/>
            <w:tcMar>
              <w:top w:w="56" w:type="dxa"/>
              <w:left w:w="56" w:type="dxa"/>
              <w:bottom w:w="56" w:type="dxa"/>
              <w:right w:w="56" w:type="dxa"/>
            </w:tcMar>
            <w:hideMark/>
          </w:tcPr>
          <w:p w14:paraId="7EE418D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0F98FBF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second-hand smoke</w:t>
            </w:r>
          </w:p>
        </w:tc>
        <w:tc>
          <w:tcPr>
            <w:tcW w:w="3773" w:type="dxa"/>
            <w:tcMar>
              <w:top w:w="56" w:type="dxa"/>
              <w:left w:w="56" w:type="dxa"/>
              <w:bottom w:w="56" w:type="dxa"/>
              <w:right w:w="56" w:type="dxa"/>
            </w:tcMar>
            <w:hideMark/>
          </w:tcPr>
          <w:p w14:paraId="7B071E4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second-hand smoke at work or through their occupation</w:t>
            </w:r>
          </w:p>
        </w:tc>
        <w:tc>
          <w:tcPr>
            <w:tcW w:w="3645" w:type="dxa"/>
            <w:tcMar>
              <w:top w:w="56" w:type="dxa"/>
              <w:left w:w="56" w:type="dxa"/>
              <w:bottom w:w="56" w:type="dxa"/>
              <w:right w:w="56" w:type="dxa"/>
            </w:tcMar>
            <w:hideMark/>
          </w:tcPr>
          <w:p w14:paraId="5B20703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second-hand smoke</w:t>
            </w:r>
          </w:p>
        </w:tc>
      </w:tr>
      <w:tr w:rsidR="00077D0B" w:rsidRPr="00077D0B" w14:paraId="4D0433A3" w14:textId="77777777" w:rsidTr="00077D0B">
        <w:trPr>
          <w:tblCellSpacing w:w="15" w:type="dxa"/>
        </w:trPr>
        <w:tc>
          <w:tcPr>
            <w:tcW w:w="0" w:type="auto"/>
            <w:tcMar>
              <w:top w:w="56" w:type="dxa"/>
              <w:left w:w="56" w:type="dxa"/>
              <w:bottom w:w="56" w:type="dxa"/>
              <w:right w:w="56" w:type="dxa"/>
            </w:tcMar>
            <w:hideMark/>
          </w:tcPr>
          <w:p w14:paraId="4DF995A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4</w:t>
            </w:r>
          </w:p>
        </w:tc>
        <w:tc>
          <w:tcPr>
            <w:tcW w:w="0" w:type="auto"/>
            <w:tcMar>
              <w:top w:w="56" w:type="dxa"/>
              <w:left w:w="56" w:type="dxa"/>
              <w:bottom w:w="56" w:type="dxa"/>
              <w:right w:w="56" w:type="dxa"/>
            </w:tcMar>
            <w:hideMark/>
          </w:tcPr>
          <w:p w14:paraId="7AEE7CC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formaldehyde</w:t>
            </w:r>
          </w:p>
        </w:tc>
        <w:tc>
          <w:tcPr>
            <w:tcW w:w="3773" w:type="dxa"/>
            <w:tcMar>
              <w:top w:w="56" w:type="dxa"/>
              <w:left w:w="56" w:type="dxa"/>
              <w:bottom w:w="56" w:type="dxa"/>
              <w:right w:w="56" w:type="dxa"/>
            </w:tcMar>
            <w:hideMark/>
          </w:tcPr>
          <w:p w14:paraId="2A36EEF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formaldehyde at work or through their occupation</w:t>
            </w:r>
          </w:p>
        </w:tc>
        <w:tc>
          <w:tcPr>
            <w:tcW w:w="3645" w:type="dxa"/>
            <w:tcMar>
              <w:top w:w="56" w:type="dxa"/>
              <w:left w:w="56" w:type="dxa"/>
              <w:bottom w:w="56" w:type="dxa"/>
              <w:right w:w="56" w:type="dxa"/>
            </w:tcMar>
            <w:hideMark/>
          </w:tcPr>
          <w:p w14:paraId="187929A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formaldehyde</w:t>
            </w:r>
          </w:p>
        </w:tc>
      </w:tr>
      <w:tr w:rsidR="00077D0B" w:rsidRPr="00077D0B" w14:paraId="087C67EA" w14:textId="77777777" w:rsidTr="00077D0B">
        <w:trPr>
          <w:tblCellSpacing w:w="15" w:type="dxa"/>
        </w:trPr>
        <w:tc>
          <w:tcPr>
            <w:tcW w:w="0" w:type="auto"/>
            <w:tcMar>
              <w:top w:w="56" w:type="dxa"/>
              <w:left w:w="56" w:type="dxa"/>
              <w:bottom w:w="56" w:type="dxa"/>
              <w:right w:w="56" w:type="dxa"/>
            </w:tcMar>
            <w:hideMark/>
          </w:tcPr>
          <w:p w14:paraId="353DD10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1F89BB9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nickel</w:t>
            </w:r>
          </w:p>
        </w:tc>
        <w:tc>
          <w:tcPr>
            <w:tcW w:w="3773" w:type="dxa"/>
            <w:tcMar>
              <w:top w:w="56" w:type="dxa"/>
              <w:left w:w="56" w:type="dxa"/>
              <w:bottom w:w="56" w:type="dxa"/>
              <w:right w:w="56" w:type="dxa"/>
            </w:tcMar>
            <w:hideMark/>
          </w:tcPr>
          <w:p w14:paraId="01EE377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nickel at work or through their occupation</w:t>
            </w:r>
          </w:p>
        </w:tc>
        <w:tc>
          <w:tcPr>
            <w:tcW w:w="3645" w:type="dxa"/>
            <w:tcMar>
              <w:top w:w="56" w:type="dxa"/>
              <w:left w:w="56" w:type="dxa"/>
              <w:bottom w:w="56" w:type="dxa"/>
              <w:right w:w="56" w:type="dxa"/>
            </w:tcMar>
            <w:hideMark/>
          </w:tcPr>
          <w:p w14:paraId="2AD3B9F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nickel</w:t>
            </w:r>
          </w:p>
        </w:tc>
      </w:tr>
      <w:tr w:rsidR="00077D0B" w:rsidRPr="00077D0B" w14:paraId="1C44C734" w14:textId="77777777" w:rsidTr="00077D0B">
        <w:trPr>
          <w:tblCellSpacing w:w="15" w:type="dxa"/>
        </w:trPr>
        <w:tc>
          <w:tcPr>
            <w:tcW w:w="0" w:type="auto"/>
            <w:tcMar>
              <w:top w:w="56" w:type="dxa"/>
              <w:left w:w="56" w:type="dxa"/>
              <w:bottom w:w="56" w:type="dxa"/>
              <w:right w:w="56" w:type="dxa"/>
            </w:tcMar>
            <w:hideMark/>
          </w:tcPr>
          <w:p w14:paraId="27AB416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6FF87AC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polycyclic aromatic hydrocarbons</w:t>
            </w:r>
          </w:p>
        </w:tc>
        <w:tc>
          <w:tcPr>
            <w:tcW w:w="3773" w:type="dxa"/>
            <w:tcMar>
              <w:top w:w="56" w:type="dxa"/>
              <w:left w:w="56" w:type="dxa"/>
              <w:bottom w:w="56" w:type="dxa"/>
              <w:right w:w="56" w:type="dxa"/>
            </w:tcMar>
            <w:hideMark/>
          </w:tcPr>
          <w:p w14:paraId="2A8C3D1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polycyclic aromatic hydrocarbons at work or through their occupation</w:t>
            </w:r>
          </w:p>
        </w:tc>
        <w:tc>
          <w:tcPr>
            <w:tcW w:w="3645" w:type="dxa"/>
            <w:tcMar>
              <w:top w:w="56" w:type="dxa"/>
              <w:left w:w="56" w:type="dxa"/>
              <w:bottom w:w="56" w:type="dxa"/>
              <w:right w:w="56" w:type="dxa"/>
            </w:tcMar>
            <w:hideMark/>
          </w:tcPr>
          <w:p w14:paraId="6110E97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polycyclic aromatic hydrocarbons</w:t>
            </w:r>
          </w:p>
        </w:tc>
      </w:tr>
      <w:tr w:rsidR="00077D0B" w:rsidRPr="00077D0B" w14:paraId="5F2F3D59" w14:textId="77777777" w:rsidTr="00077D0B">
        <w:trPr>
          <w:tblCellSpacing w:w="15" w:type="dxa"/>
        </w:trPr>
        <w:tc>
          <w:tcPr>
            <w:tcW w:w="0" w:type="auto"/>
            <w:tcMar>
              <w:top w:w="56" w:type="dxa"/>
              <w:left w:w="56" w:type="dxa"/>
              <w:bottom w:w="56" w:type="dxa"/>
              <w:right w:w="56" w:type="dxa"/>
            </w:tcMar>
            <w:hideMark/>
          </w:tcPr>
          <w:p w14:paraId="159ACB1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6E6E09D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silica</w:t>
            </w:r>
          </w:p>
        </w:tc>
        <w:tc>
          <w:tcPr>
            <w:tcW w:w="3773" w:type="dxa"/>
            <w:tcMar>
              <w:top w:w="56" w:type="dxa"/>
              <w:left w:w="56" w:type="dxa"/>
              <w:bottom w:w="56" w:type="dxa"/>
              <w:right w:w="56" w:type="dxa"/>
            </w:tcMar>
            <w:hideMark/>
          </w:tcPr>
          <w:p w14:paraId="0E7C912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silica at work or through their occupation</w:t>
            </w:r>
          </w:p>
        </w:tc>
        <w:tc>
          <w:tcPr>
            <w:tcW w:w="3645" w:type="dxa"/>
            <w:tcMar>
              <w:top w:w="56" w:type="dxa"/>
              <w:left w:w="56" w:type="dxa"/>
              <w:bottom w:w="56" w:type="dxa"/>
              <w:right w:w="56" w:type="dxa"/>
            </w:tcMar>
            <w:hideMark/>
          </w:tcPr>
          <w:p w14:paraId="5BD9CF1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silica</w:t>
            </w:r>
          </w:p>
        </w:tc>
      </w:tr>
      <w:tr w:rsidR="00077D0B" w:rsidRPr="00077D0B" w14:paraId="334EB01E" w14:textId="77777777" w:rsidTr="00077D0B">
        <w:trPr>
          <w:tblCellSpacing w:w="15" w:type="dxa"/>
        </w:trPr>
        <w:tc>
          <w:tcPr>
            <w:tcW w:w="0" w:type="auto"/>
            <w:tcMar>
              <w:top w:w="56" w:type="dxa"/>
              <w:left w:w="56" w:type="dxa"/>
              <w:bottom w:w="56" w:type="dxa"/>
              <w:right w:w="56" w:type="dxa"/>
            </w:tcMar>
            <w:hideMark/>
          </w:tcPr>
          <w:p w14:paraId="32515DE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768BD68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sulfuric acid</w:t>
            </w:r>
          </w:p>
        </w:tc>
        <w:tc>
          <w:tcPr>
            <w:tcW w:w="3773" w:type="dxa"/>
            <w:tcMar>
              <w:top w:w="56" w:type="dxa"/>
              <w:left w:w="56" w:type="dxa"/>
              <w:bottom w:w="56" w:type="dxa"/>
              <w:right w:w="56" w:type="dxa"/>
            </w:tcMar>
            <w:hideMark/>
          </w:tcPr>
          <w:p w14:paraId="6DB11B8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sulfuric acid at work or through their occupation</w:t>
            </w:r>
          </w:p>
        </w:tc>
        <w:tc>
          <w:tcPr>
            <w:tcW w:w="3645" w:type="dxa"/>
            <w:tcMar>
              <w:top w:w="56" w:type="dxa"/>
              <w:left w:w="56" w:type="dxa"/>
              <w:bottom w:w="56" w:type="dxa"/>
              <w:right w:w="56" w:type="dxa"/>
            </w:tcMar>
            <w:hideMark/>
          </w:tcPr>
          <w:p w14:paraId="3E7A163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sulfuric acid</w:t>
            </w:r>
          </w:p>
        </w:tc>
      </w:tr>
      <w:tr w:rsidR="00077D0B" w:rsidRPr="00077D0B" w14:paraId="72867BA3" w14:textId="77777777" w:rsidTr="00077D0B">
        <w:trPr>
          <w:tblCellSpacing w:w="15" w:type="dxa"/>
        </w:trPr>
        <w:tc>
          <w:tcPr>
            <w:tcW w:w="0" w:type="auto"/>
            <w:tcMar>
              <w:top w:w="56" w:type="dxa"/>
              <w:left w:w="56" w:type="dxa"/>
              <w:bottom w:w="56" w:type="dxa"/>
              <w:right w:w="56" w:type="dxa"/>
            </w:tcMar>
            <w:hideMark/>
          </w:tcPr>
          <w:p w14:paraId="6CC7318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30C3346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exposure to trichloroethylene</w:t>
            </w:r>
          </w:p>
        </w:tc>
        <w:tc>
          <w:tcPr>
            <w:tcW w:w="3773" w:type="dxa"/>
            <w:tcMar>
              <w:top w:w="56" w:type="dxa"/>
              <w:left w:w="56" w:type="dxa"/>
              <w:bottom w:w="56" w:type="dxa"/>
              <w:right w:w="56" w:type="dxa"/>
            </w:tcMar>
            <w:hideMark/>
          </w:tcPr>
          <w:p w14:paraId="4BBEF82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trichlorethylene at work or through their occupation</w:t>
            </w:r>
          </w:p>
        </w:tc>
        <w:tc>
          <w:tcPr>
            <w:tcW w:w="3645" w:type="dxa"/>
            <w:tcMar>
              <w:top w:w="56" w:type="dxa"/>
              <w:left w:w="56" w:type="dxa"/>
              <w:bottom w:w="56" w:type="dxa"/>
              <w:right w:w="56" w:type="dxa"/>
            </w:tcMar>
            <w:hideMark/>
          </w:tcPr>
          <w:p w14:paraId="7843306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trichloroethylene</w:t>
            </w:r>
          </w:p>
        </w:tc>
      </w:tr>
      <w:tr w:rsidR="00077D0B" w:rsidRPr="00077D0B" w14:paraId="28DFF7F1" w14:textId="77777777" w:rsidTr="00077D0B">
        <w:trPr>
          <w:tblCellSpacing w:w="15" w:type="dxa"/>
        </w:trPr>
        <w:tc>
          <w:tcPr>
            <w:tcW w:w="0" w:type="auto"/>
            <w:tcMar>
              <w:top w:w="56" w:type="dxa"/>
              <w:left w:w="56" w:type="dxa"/>
              <w:bottom w:w="56" w:type="dxa"/>
              <w:right w:w="56" w:type="dxa"/>
            </w:tcMar>
            <w:hideMark/>
          </w:tcPr>
          <w:p w14:paraId="2C42062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BF34D1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asthmagens</w:t>
            </w:r>
          </w:p>
        </w:tc>
        <w:tc>
          <w:tcPr>
            <w:tcW w:w="3773" w:type="dxa"/>
            <w:tcMar>
              <w:top w:w="56" w:type="dxa"/>
              <w:left w:w="56" w:type="dxa"/>
              <w:bottom w:w="56" w:type="dxa"/>
              <w:right w:w="56" w:type="dxa"/>
            </w:tcMar>
            <w:hideMark/>
          </w:tcPr>
          <w:p w14:paraId="3FE1C21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currently exposed to asthmagens at work or through their occupation</w:t>
            </w:r>
          </w:p>
        </w:tc>
        <w:tc>
          <w:tcPr>
            <w:tcW w:w="3645" w:type="dxa"/>
            <w:tcMar>
              <w:top w:w="56" w:type="dxa"/>
              <w:left w:w="56" w:type="dxa"/>
              <w:bottom w:w="56" w:type="dxa"/>
              <w:right w:w="56" w:type="dxa"/>
            </w:tcMar>
            <w:hideMark/>
          </w:tcPr>
          <w:p w14:paraId="52E0296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Background </w:t>
            </w:r>
            <w:proofErr w:type="spellStart"/>
            <w:r w:rsidRPr="00077D0B">
              <w:rPr>
                <w:rFonts w:ascii="Times New Roman" w:eastAsia="Times New Roman" w:hAnsi="Times New Roman" w:cs="Times New Roman"/>
                <w:kern w:val="0"/>
                <w14:ligatures w14:val="none"/>
              </w:rPr>
              <w:t>asthmagen</w:t>
            </w:r>
            <w:proofErr w:type="spellEnd"/>
            <w:r w:rsidRPr="00077D0B">
              <w:rPr>
                <w:rFonts w:ascii="Times New Roman" w:eastAsia="Times New Roman" w:hAnsi="Times New Roman" w:cs="Times New Roman"/>
                <w:kern w:val="0"/>
                <w14:ligatures w14:val="none"/>
              </w:rPr>
              <w:t xml:space="preserve"> exposures</w:t>
            </w:r>
          </w:p>
        </w:tc>
      </w:tr>
      <w:tr w:rsidR="00077D0B" w:rsidRPr="00077D0B" w14:paraId="2B5376AA" w14:textId="77777777" w:rsidTr="00077D0B">
        <w:trPr>
          <w:tblCellSpacing w:w="15" w:type="dxa"/>
        </w:trPr>
        <w:tc>
          <w:tcPr>
            <w:tcW w:w="0" w:type="auto"/>
            <w:tcMar>
              <w:top w:w="56" w:type="dxa"/>
              <w:left w:w="56" w:type="dxa"/>
              <w:bottom w:w="56" w:type="dxa"/>
              <w:right w:w="56" w:type="dxa"/>
            </w:tcMar>
            <w:hideMark/>
          </w:tcPr>
          <w:p w14:paraId="33379B5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74E1FD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particulate matter, gases, and fumes</w:t>
            </w:r>
          </w:p>
        </w:tc>
        <w:tc>
          <w:tcPr>
            <w:tcW w:w="3773" w:type="dxa"/>
            <w:tcMar>
              <w:top w:w="56" w:type="dxa"/>
              <w:left w:w="56" w:type="dxa"/>
              <w:bottom w:w="56" w:type="dxa"/>
              <w:right w:w="56" w:type="dxa"/>
            </w:tcMar>
            <w:hideMark/>
          </w:tcPr>
          <w:p w14:paraId="0B280B1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particulates, gases, or fumes at work or through their occupation</w:t>
            </w:r>
          </w:p>
        </w:tc>
        <w:tc>
          <w:tcPr>
            <w:tcW w:w="3645" w:type="dxa"/>
            <w:tcMar>
              <w:top w:w="56" w:type="dxa"/>
              <w:left w:w="56" w:type="dxa"/>
              <w:bottom w:w="56" w:type="dxa"/>
              <w:right w:w="56" w:type="dxa"/>
            </w:tcMar>
            <w:hideMark/>
          </w:tcPr>
          <w:p w14:paraId="1A3D592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occupational exposure to particulates, gases, or fumes</w:t>
            </w:r>
          </w:p>
        </w:tc>
      </w:tr>
      <w:tr w:rsidR="00077D0B" w:rsidRPr="00077D0B" w14:paraId="21D13691" w14:textId="77777777" w:rsidTr="00077D0B">
        <w:trPr>
          <w:tblCellSpacing w:w="15" w:type="dxa"/>
        </w:trPr>
        <w:tc>
          <w:tcPr>
            <w:tcW w:w="0" w:type="auto"/>
            <w:tcMar>
              <w:top w:w="56" w:type="dxa"/>
              <w:left w:w="56" w:type="dxa"/>
              <w:bottom w:w="56" w:type="dxa"/>
              <w:right w:w="56" w:type="dxa"/>
            </w:tcMar>
            <w:hideMark/>
          </w:tcPr>
          <w:p w14:paraId="3BFC1E7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3</w:t>
            </w:r>
          </w:p>
        </w:tc>
        <w:tc>
          <w:tcPr>
            <w:tcW w:w="0" w:type="auto"/>
            <w:tcMar>
              <w:top w:w="56" w:type="dxa"/>
              <w:left w:w="56" w:type="dxa"/>
              <w:bottom w:w="56" w:type="dxa"/>
              <w:right w:w="56" w:type="dxa"/>
            </w:tcMar>
            <w:hideMark/>
          </w:tcPr>
          <w:p w14:paraId="522A8D3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noise</w:t>
            </w:r>
          </w:p>
        </w:tc>
        <w:tc>
          <w:tcPr>
            <w:tcW w:w="3773" w:type="dxa"/>
            <w:tcMar>
              <w:top w:w="56" w:type="dxa"/>
              <w:left w:w="56" w:type="dxa"/>
              <w:bottom w:w="56" w:type="dxa"/>
              <w:right w:w="56" w:type="dxa"/>
            </w:tcMar>
            <w:hideMark/>
          </w:tcPr>
          <w:p w14:paraId="4578F8E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exposed to noise greater than 85 dB at work or through their occupation</w:t>
            </w:r>
          </w:p>
        </w:tc>
        <w:tc>
          <w:tcPr>
            <w:tcW w:w="3645" w:type="dxa"/>
            <w:tcMar>
              <w:top w:w="56" w:type="dxa"/>
              <w:left w:w="56" w:type="dxa"/>
              <w:bottom w:w="56" w:type="dxa"/>
              <w:right w:w="56" w:type="dxa"/>
            </w:tcMar>
            <w:hideMark/>
          </w:tcPr>
          <w:p w14:paraId="4CF0D7E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Background noise exposure</w:t>
            </w:r>
          </w:p>
        </w:tc>
      </w:tr>
      <w:tr w:rsidR="00077D0B" w:rsidRPr="00077D0B" w14:paraId="37E551D4" w14:textId="77777777" w:rsidTr="00077D0B">
        <w:trPr>
          <w:tblCellSpacing w:w="15" w:type="dxa"/>
        </w:trPr>
        <w:tc>
          <w:tcPr>
            <w:tcW w:w="0" w:type="auto"/>
            <w:tcMar>
              <w:top w:w="56" w:type="dxa"/>
              <w:left w:w="56" w:type="dxa"/>
              <w:bottom w:w="56" w:type="dxa"/>
              <w:right w:w="56" w:type="dxa"/>
            </w:tcMar>
            <w:hideMark/>
          </w:tcPr>
          <w:p w14:paraId="7227273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6317B72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injuries</w:t>
            </w:r>
          </w:p>
        </w:tc>
        <w:tc>
          <w:tcPr>
            <w:tcW w:w="3773" w:type="dxa"/>
            <w:tcMar>
              <w:top w:w="56" w:type="dxa"/>
              <w:left w:w="56" w:type="dxa"/>
              <w:bottom w:w="56" w:type="dxa"/>
              <w:right w:w="56" w:type="dxa"/>
            </w:tcMar>
            <w:hideMark/>
          </w:tcPr>
          <w:p w14:paraId="1FDA351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at risk to injuries related to work or through their occupation</w:t>
            </w:r>
          </w:p>
        </w:tc>
        <w:tc>
          <w:tcPr>
            <w:tcW w:w="3645" w:type="dxa"/>
            <w:tcMar>
              <w:top w:w="56" w:type="dxa"/>
              <w:left w:w="56" w:type="dxa"/>
              <w:bottom w:w="56" w:type="dxa"/>
              <w:right w:w="56" w:type="dxa"/>
            </w:tcMar>
            <w:hideMark/>
          </w:tcPr>
          <w:p w14:paraId="1133E96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The rate of injury deaths per 100 000 person-years is zero</w:t>
            </w:r>
          </w:p>
        </w:tc>
      </w:tr>
      <w:tr w:rsidR="00077D0B" w:rsidRPr="00077D0B" w14:paraId="30C6C752" w14:textId="77777777" w:rsidTr="00077D0B">
        <w:trPr>
          <w:tblCellSpacing w:w="15" w:type="dxa"/>
        </w:trPr>
        <w:tc>
          <w:tcPr>
            <w:tcW w:w="0" w:type="auto"/>
            <w:tcMar>
              <w:top w:w="56" w:type="dxa"/>
              <w:left w:w="56" w:type="dxa"/>
              <w:bottom w:w="56" w:type="dxa"/>
              <w:right w:w="56" w:type="dxa"/>
            </w:tcMar>
            <w:hideMark/>
          </w:tcPr>
          <w:p w14:paraId="7380FDF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369CDA2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Occupational ergonomic factors</w:t>
            </w:r>
          </w:p>
        </w:tc>
        <w:tc>
          <w:tcPr>
            <w:tcW w:w="3773" w:type="dxa"/>
            <w:tcMar>
              <w:top w:w="56" w:type="dxa"/>
              <w:left w:w="56" w:type="dxa"/>
              <w:bottom w:w="56" w:type="dxa"/>
              <w:right w:w="56" w:type="dxa"/>
            </w:tcMar>
            <w:hideMark/>
          </w:tcPr>
          <w:p w14:paraId="3A6A052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who are exposed to ergonomic risk factors for low back pain at work or through their occupation</w:t>
            </w:r>
          </w:p>
        </w:tc>
        <w:tc>
          <w:tcPr>
            <w:tcW w:w="3645" w:type="dxa"/>
            <w:tcMar>
              <w:top w:w="56" w:type="dxa"/>
              <w:left w:w="56" w:type="dxa"/>
              <w:bottom w:w="56" w:type="dxa"/>
              <w:right w:w="56" w:type="dxa"/>
            </w:tcMar>
            <w:hideMark/>
          </w:tcPr>
          <w:p w14:paraId="1053793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individuals have the ergonomic factors of clerical and related workers</w:t>
            </w:r>
          </w:p>
        </w:tc>
      </w:tr>
      <w:tr w:rsidR="00077D0B" w:rsidRPr="00077D0B" w14:paraId="57066526" w14:textId="77777777" w:rsidTr="00077D0B">
        <w:trPr>
          <w:tblCellSpacing w:w="15" w:type="dxa"/>
        </w:trPr>
        <w:tc>
          <w:tcPr>
            <w:tcW w:w="0" w:type="auto"/>
            <w:tcMar>
              <w:top w:w="56" w:type="dxa"/>
              <w:left w:w="56" w:type="dxa"/>
              <w:bottom w:w="56" w:type="dxa"/>
              <w:right w:w="56" w:type="dxa"/>
            </w:tcMar>
            <w:hideMark/>
          </w:tcPr>
          <w:p w14:paraId="54D9645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1</w:t>
            </w:r>
          </w:p>
        </w:tc>
        <w:tc>
          <w:tcPr>
            <w:tcW w:w="0" w:type="auto"/>
            <w:tcMar>
              <w:top w:w="56" w:type="dxa"/>
              <w:left w:w="56" w:type="dxa"/>
              <w:bottom w:w="56" w:type="dxa"/>
              <w:right w:w="56" w:type="dxa"/>
            </w:tcMar>
            <w:hideMark/>
          </w:tcPr>
          <w:p w14:paraId="32EC19E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Behavioural risks</w:t>
            </w:r>
          </w:p>
        </w:tc>
        <w:tc>
          <w:tcPr>
            <w:tcW w:w="3773" w:type="dxa"/>
            <w:tcMar>
              <w:top w:w="56" w:type="dxa"/>
              <w:left w:w="56" w:type="dxa"/>
              <w:bottom w:w="56" w:type="dxa"/>
              <w:right w:w="56" w:type="dxa"/>
            </w:tcMar>
            <w:hideMark/>
          </w:tcPr>
          <w:p w14:paraId="26A99B4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53B640F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575A8C66" w14:textId="77777777" w:rsidTr="00077D0B">
        <w:trPr>
          <w:tblCellSpacing w:w="15" w:type="dxa"/>
        </w:trPr>
        <w:tc>
          <w:tcPr>
            <w:tcW w:w="0" w:type="auto"/>
            <w:tcMar>
              <w:top w:w="56" w:type="dxa"/>
              <w:left w:w="56" w:type="dxa"/>
              <w:bottom w:w="56" w:type="dxa"/>
              <w:right w:w="56" w:type="dxa"/>
            </w:tcMar>
            <w:hideMark/>
          </w:tcPr>
          <w:p w14:paraId="2B63356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1803842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Child and maternal malnutrition</w:t>
            </w:r>
          </w:p>
        </w:tc>
        <w:tc>
          <w:tcPr>
            <w:tcW w:w="3773" w:type="dxa"/>
            <w:tcMar>
              <w:top w:w="56" w:type="dxa"/>
              <w:left w:w="56" w:type="dxa"/>
              <w:bottom w:w="56" w:type="dxa"/>
              <w:right w:w="56" w:type="dxa"/>
            </w:tcMar>
            <w:hideMark/>
          </w:tcPr>
          <w:p w14:paraId="59F1DC0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2E92EF2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40117D17" w14:textId="77777777" w:rsidTr="00077D0B">
        <w:trPr>
          <w:tblCellSpacing w:w="15" w:type="dxa"/>
        </w:trPr>
        <w:tc>
          <w:tcPr>
            <w:tcW w:w="0" w:type="auto"/>
            <w:tcMar>
              <w:top w:w="56" w:type="dxa"/>
              <w:left w:w="56" w:type="dxa"/>
              <w:bottom w:w="56" w:type="dxa"/>
              <w:right w:w="56" w:type="dxa"/>
            </w:tcMar>
            <w:hideMark/>
          </w:tcPr>
          <w:p w14:paraId="47C90DC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7236F2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Suboptimal breastfeeding</w:t>
            </w:r>
          </w:p>
        </w:tc>
        <w:tc>
          <w:tcPr>
            <w:tcW w:w="3773" w:type="dxa"/>
            <w:tcMar>
              <w:top w:w="56" w:type="dxa"/>
              <w:left w:w="56" w:type="dxa"/>
              <w:bottom w:w="56" w:type="dxa"/>
              <w:right w:w="56" w:type="dxa"/>
            </w:tcMar>
            <w:hideMark/>
          </w:tcPr>
          <w:p w14:paraId="756B0FE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274E766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r>
      <w:tr w:rsidR="00077D0B" w:rsidRPr="00077D0B" w14:paraId="529245F5" w14:textId="77777777" w:rsidTr="00077D0B">
        <w:trPr>
          <w:tblCellSpacing w:w="15" w:type="dxa"/>
        </w:trPr>
        <w:tc>
          <w:tcPr>
            <w:tcW w:w="0" w:type="auto"/>
            <w:tcMar>
              <w:top w:w="56" w:type="dxa"/>
              <w:left w:w="56" w:type="dxa"/>
              <w:bottom w:w="56" w:type="dxa"/>
              <w:right w:w="56" w:type="dxa"/>
            </w:tcMar>
            <w:hideMark/>
          </w:tcPr>
          <w:p w14:paraId="79F8C39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57740F0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Non-exclusive breastfeeding</w:t>
            </w:r>
          </w:p>
        </w:tc>
        <w:tc>
          <w:tcPr>
            <w:tcW w:w="3773" w:type="dxa"/>
            <w:tcMar>
              <w:top w:w="56" w:type="dxa"/>
              <w:left w:w="56" w:type="dxa"/>
              <w:bottom w:w="56" w:type="dxa"/>
              <w:right w:w="56" w:type="dxa"/>
            </w:tcMar>
            <w:hideMark/>
          </w:tcPr>
          <w:p w14:paraId="1A709E8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children younger than 6 months who receive predominant, partial, or no breastfeeding</w:t>
            </w:r>
          </w:p>
        </w:tc>
        <w:tc>
          <w:tcPr>
            <w:tcW w:w="3645" w:type="dxa"/>
            <w:tcMar>
              <w:top w:w="56" w:type="dxa"/>
              <w:left w:w="56" w:type="dxa"/>
              <w:bottom w:w="56" w:type="dxa"/>
              <w:right w:w="56" w:type="dxa"/>
            </w:tcMar>
            <w:hideMark/>
          </w:tcPr>
          <w:p w14:paraId="6D7DD8C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children are exclusively breastfed for first 6 months of life</w:t>
            </w:r>
          </w:p>
        </w:tc>
      </w:tr>
      <w:tr w:rsidR="00077D0B" w:rsidRPr="00077D0B" w14:paraId="2DF3FCBF" w14:textId="77777777" w:rsidTr="00077D0B">
        <w:trPr>
          <w:tblCellSpacing w:w="15" w:type="dxa"/>
        </w:trPr>
        <w:tc>
          <w:tcPr>
            <w:tcW w:w="0" w:type="auto"/>
            <w:tcMar>
              <w:top w:w="56" w:type="dxa"/>
              <w:left w:w="56" w:type="dxa"/>
              <w:bottom w:w="56" w:type="dxa"/>
              <w:right w:w="56" w:type="dxa"/>
            </w:tcMar>
            <w:hideMark/>
          </w:tcPr>
          <w:p w14:paraId="5092B1C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26BBF19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Discontinued breastfeeding</w:t>
            </w:r>
          </w:p>
        </w:tc>
        <w:tc>
          <w:tcPr>
            <w:tcW w:w="3773" w:type="dxa"/>
            <w:tcMar>
              <w:top w:w="56" w:type="dxa"/>
              <w:left w:w="56" w:type="dxa"/>
              <w:bottom w:w="56" w:type="dxa"/>
              <w:right w:w="56" w:type="dxa"/>
            </w:tcMar>
            <w:hideMark/>
          </w:tcPr>
          <w:p w14:paraId="1330322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children aged 6–23 months who do not receive any breastmilk</w:t>
            </w:r>
          </w:p>
        </w:tc>
        <w:tc>
          <w:tcPr>
            <w:tcW w:w="3645" w:type="dxa"/>
            <w:tcMar>
              <w:top w:w="56" w:type="dxa"/>
              <w:left w:w="56" w:type="dxa"/>
              <w:bottom w:w="56" w:type="dxa"/>
              <w:right w:w="56" w:type="dxa"/>
            </w:tcMar>
            <w:hideMark/>
          </w:tcPr>
          <w:p w14:paraId="3B01E00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children continue to receive breastmilk until 2 years of age</w:t>
            </w:r>
          </w:p>
        </w:tc>
      </w:tr>
      <w:tr w:rsidR="00077D0B" w:rsidRPr="00077D0B" w14:paraId="01BA1F31" w14:textId="77777777" w:rsidTr="00077D0B">
        <w:trPr>
          <w:tblCellSpacing w:w="15" w:type="dxa"/>
        </w:trPr>
        <w:tc>
          <w:tcPr>
            <w:tcW w:w="0" w:type="auto"/>
            <w:tcMar>
              <w:top w:w="56" w:type="dxa"/>
              <w:left w:w="56" w:type="dxa"/>
              <w:bottom w:w="56" w:type="dxa"/>
              <w:right w:w="56" w:type="dxa"/>
            </w:tcMar>
            <w:hideMark/>
          </w:tcPr>
          <w:p w14:paraId="0434003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9F8BC6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Child growth failure</w:t>
            </w:r>
          </w:p>
        </w:tc>
        <w:tc>
          <w:tcPr>
            <w:tcW w:w="3773" w:type="dxa"/>
            <w:tcMar>
              <w:top w:w="56" w:type="dxa"/>
              <w:left w:w="56" w:type="dxa"/>
              <w:bottom w:w="56" w:type="dxa"/>
              <w:right w:w="56" w:type="dxa"/>
            </w:tcMar>
            <w:hideMark/>
          </w:tcPr>
          <w:p w14:paraId="3660C2B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391BA82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r>
      <w:tr w:rsidR="00077D0B" w:rsidRPr="00077D0B" w14:paraId="2F771FBD" w14:textId="77777777" w:rsidTr="00077D0B">
        <w:trPr>
          <w:tblCellSpacing w:w="15" w:type="dxa"/>
        </w:trPr>
        <w:tc>
          <w:tcPr>
            <w:tcW w:w="0" w:type="auto"/>
            <w:tcMar>
              <w:top w:w="56" w:type="dxa"/>
              <w:left w:w="56" w:type="dxa"/>
              <w:bottom w:w="56" w:type="dxa"/>
              <w:right w:w="56" w:type="dxa"/>
            </w:tcMar>
            <w:hideMark/>
          </w:tcPr>
          <w:p w14:paraId="5C4B435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4</w:t>
            </w:r>
          </w:p>
        </w:tc>
        <w:tc>
          <w:tcPr>
            <w:tcW w:w="0" w:type="auto"/>
            <w:tcMar>
              <w:top w:w="56" w:type="dxa"/>
              <w:left w:w="56" w:type="dxa"/>
              <w:bottom w:w="56" w:type="dxa"/>
              <w:right w:w="56" w:type="dxa"/>
            </w:tcMar>
            <w:hideMark/>
          </w:tcPr>
          <w:p w14:paraId="4E631E5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Child underweight</w:t>
            </w:r>
          </w:p>
        </w:tc>
        <w:tc>
          <w:tcPr>
            <w:tcW w:w="3773" w:type="dxa"/>
            <w:tcMar>
              <w:top w:w="56" w:type="dxa"/>
              <w:left w:w="56" w:type="dxa"/>
              <w:bottom w:w="56" w:type="dxa"/>
              <w:right w:w="56" w:type="dxa"/>
            </w:tcMar>
            <w:hideMark/>
          </w:tcPr>
          <w:p w14:paraId="4B90209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children less than −3 SD, −3 to −2 SD, and −2 to −1 SDs of the WHO 2006 standard weight-for-age curve</w:t>
            </w:r>
          </w:p>
        </w:tc>
        <w:tc>
          <w:tcPr>
            <w:tcW w:w="3645" w:type="dxa"/>
            <w:tcMar>
              <w:top w:w="56" w:type="dxa"/>
              <w:left w:w="56" w:type="dxa"/>
              <w:bottom w:w="56" w:type="dxa"/>
              <w:right w:w="56" w:type="dxa"/>
            </w:tcMar>
            <w:hideMark/>
          </w:tcPr>
          <w:p w14:paraId="733EF5A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children are above −1 SD of WHO 2006 standard weight-for-age curve</w:t>
            </w:r>
          </w:p>
        </w:tc>
      </w:tr>
      <w:tr w:rsidR="00077D0B" w:rsidRPr="00077D0B" w14:paraId="18EF8196" w14:textId="77777777" w:rsidTr="00077D0B">
        <w:trPr>
          <w:tblCellSpacing w:w="15" w:type="dxa"/>
        </w:trPr>
        <w:tc>
          <w:tcPr>
            <w:tcW w:w="0" w:type="auto"/>
            <w:tcMar>
              <w:top w:w="56" w:type="dxa"/>
              <w:left w:w="56" w:type="dxa"/>
              <w:bottom w:w="56" w:type="dxa"/>
              <w:right w:w="56" w:type="dxa"/>
            </w:tcMar>
            <w:hideMark/>
          </w:tcPr>
          <w:p w14:paraId="08095F0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6A8EEF9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Child wasting</w:t>
            </w:r>
          </w:p>
        </w:tc>
        <w:tc>
          <w:tcPr>
            <w:tcW w:w="3773" w:type="dxa"/>
            <w:tcMar>
              <w:top w:w="56" w:type="dxa"/>
              <w:left w:w="56" w:type="dxa"/>
              <w:bottom w:w="56" w:type="dxa"/>
              <w:right w:w="56" w:type="dxa"/>
            </w:tcMar>
            <w:hideMark/>
          </w:tcPr>
          <w:p w14:paraId="088B986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children less than −3 SD, −3 to −2 SDs, and −2 to −1 SD of the WHO 2006 standard weight-for-length curve</w:t>
            </w:r>
          </w:p>
        </w:tc>
        <w:tc>
          <w:tcPr>
            <w:tcW w:w="3645" w:type="dxa"/>
            <w:tcMar>
              <w:top w:w="56" w:type="dxa"/>
              <w:left w:w="56" w:type="dxa"/>
              <w:bottom w:w="56" w:type="dxa"/>
              <w:right w:w="56" w:type="dxa"/>
            </w:tcMar>
            <w:hideMark/>
          </w:tcPr>
          <w:p w14:paraId="6E637C7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children are above −1 SD of WHO 2006 standard weight-for-height curve</w:t>
            </w:r>
          </w:p>
        </w:tc>
      </w:tr>
      <w:tr w:rsidR="00077D0B" w:rsidRPr="00077D0B" w14:paraId="574D5602" w14:textId="77777777" w:rsidTr="00077D0B">
        <w:trPr>
          <w:tblCellSpacing w:w="15" w:type="dxa"/>
        </w:trPr>
        <w:tc>
          <w:tcPr>
            <w:tcW w:w="0" w:type="auto"/>
            <w:tcMar>
              <w:top w:w="56" w:type="dxa"/>
              <w:left w:w="56" w:type="dxa"/>
              <w:bottom w:w="56" w:type="dxa"/>
              <w:right w:w="56" w:type="dxa"/>
            </w:tcMar>
            <w:hideMark/>
          </w:tcPr>
          <w:p w14:paraId="374B227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5877352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Child stunting</w:t>
            </w:r>
          </w:p>
        </w:tc>
        <w:tc>
          <w:tcPr>
            <w:tcW w:w="3773" w:type="dxa"/>
            <w:tcMar>
              <w:top w:w="56" w:type="dxa"/>
              <w:left w:w="56" w:type="dxa"/>
              <w:bottom w:w="56" w:type="dxa"/>
              <w:right w:w="56" w:type="dxa"/>
            </w:tcMar>
            <w:hideMark/>
          </w:tcPr>
          <w:p w14:paraId="703F234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children less than −3 SD, −3 to −2 SD, and −2 to −1 SD of the WHO 2006 standard height-for-age curve</w:t>
            </w:r>
          </w:p>
        </w:tc>
        <w:tc>
          <w:tcPr>
            <w:tcW w:w="3645" w:type="dxa"/>
            <w:tcMar>
              <w:top w:w="56" w:type="dxa"/>
              <w:left w:w="56" w:type="dxa"/>
              <w:bottom w:w="56" w:type="dxa"/>
              <w:right w:w="56" w:type="dxa"/>
            </w:tcMar>
            <w:hideMark/>
          </w:tcPr>
          <w:p w14:paraId="4138921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children are above −1 SD of WHO 2006 standard height-for-age curve</w:t>
            </w:r>
          </w:p>
        </w:tc>
      </w:tr>
      <w:tr w:rsidR="00077D0B" w:rsidRPr="00077D0B" w14:paraId="0A942EC6" w14:textId="77777777" w:rsidTr="00077D0B">
        <w:trPr>
          <w:tblCellSpacing w:w="15" w:type="dxa"/>
        </w:trPr>
        <w:tc>
          <w:tcPr>
            <w:tcW w:w="0" w:type="auto"/>
            <w:tcMar>
              <w:top w:w="56" w:type="dxa"/>
              <w:left w:w="56" w:type="dxa"/>
              <w:bottom w:w="56" w:type="dxa"/>
              <w:right w:w="56" w:type="dxa"/>
            </w:tcMar>
            <w:hideMark/>
          </w:tcPr>
          <w:p w14:paraId="4CE975A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335342D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Low birthweight and short gestation</w:t>
            </w:r>
          </w:p>
        </w:tc>
        <w:tc>
          <w:tcPr>
            <w:tcW w:w="3773" w:type="dxa"/>
            <w:tcMar>
              <w:top w:w="56" w:type="dxa"/>
              <w:left w:w="56" w:type="dxa"/>
              <w:bottom w:w="56" w:type="dxa"/>
              <w:right w:w="56" w:type="dxa"/>
            </w:tcMar>
            <w:hideMark/>
          </w:tcPr>
          <w:p w14:paraId="1C38DEC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4CC7E8A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17AD590E" w14:textId="77777777" w:rsidTr="00077D0B">
        <w:trPr>
          <w:tblCellSpacing w:w="15" w:type="dxa"/>
        </w:trPr>
        <w:tc>
          <w:tcPr>
            <w:tcW w:w="0" w:type="auto"/>
            <w:tcMar>
              <w:top w:w="56" w:type="dxa"/>
              <w:left w:w="56" w:type="dxa"/>
              <w:bottom w:w="56" w:type="dxa"/>
              <w:right w:w="56" w:type="dxa"/>
            </w:tcMar>
            <w:hideMark/>
          </w:tcPr>
          <w:p w14:paraId="71D3058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4787A3D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Short gestation for birthweight</w:t>
            </w:r>
          </w:p>
        </w:tc>
        <w:tc>
          <w:tcPr>
            <w:tcW w:w="3773" w:type="dxa"/>
            <w:tcMar>
              <w:top w:w="56" w:type="dxa"/>
              <w:left w:w="56" w:type="dxa"/>
              <w:bottom w:w="56" w:type="dxa"/>
              <w:right w:w="56" w:type="dxa"/>
            </w:tcMar>
            <w:hideMark/>
          </w:tcPr>
          <w:p w14:paraId="39A672D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Proportion of births occurring in </w:t>
            </w:r>
            <w:proofErr w:type="gramStart"/>
            <w:r w:rsidRPr="00077D0B">
              <w:rPr>
                <w:rFonts w:ascii="Times New Roman" w:eastAsia="Times New Roman" w:hAnsi="Times New Roman" w:cs="Times New Roman"/>
                <w:kern w:val="0"/>
                <w14:ligatures w14:val="none"/>
              </w:rPr>
              <w:t>2 week</w:t>
            </w:r>
            <w:proofErr w:type="gramEnd"/>
            <w:r w:rsidRPr="00077D0B">
              <w:rPr>
                <w:rFonts w:ascii="Times New Roman" w:eastAsia="Times New Roman" w:hAnsi="Times New Roman" w:cs="Times New Roman"/>
                <w:kern w:val="0"/>
                <w14:ligatures w14:val="none"/>
              </w:rPr>
              <w:t xml:space="preserve"> bands starting from &lt;24 weeks to 39–40 weeks</w:t>
            </w:r>
          </w:p>
        </w:tc>
        <w:tc>
          <w:tcPr>
            <w:tcW w:w="3645" w:type="dxa"/>
            <w:tcMar>
              <w:top w:w="56" w:type="dxa"/>
              <w:left w:w="56" w:type="dxa"/>
              <w:bottom w:w="56" w:type="dxa"/>
              <w:right w:w="56" w:type="dxa"/>
            </w:tcMar>
            <w:hideMark/>
          </w:tcPr>
          <w:p w14:paraId="41913B6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40–41 </w:t>
            </w:r>
            <w:proofErr w:type="spellStart"/>
            <w:r w:rsidRPr="00077D0B">
              <w:rPr>
                <w:rFonts w:ascii="Times New Roman" w:eastAsia="Times New Roman" w:hAnsi="Times New Roman" w:cs="Times New Roman"/>
                <w:kern w:val="0"/>
                <w14:ligatures w14:val="none"/>
              </w:rPr>
              <w:t>weeks</w:t>
            </w:r>
            <w:proofErr w:type="spellEnd"/>
            <w:r w:rsidRPr="00077D0B">
              <w:rPr>
                <w:rFonts w:ascii="Times New Roman" w:eastAsia="Times New Roman" w:hAnsi="Times New Roman" w:cs="Times New Roman"/>
                <w:kern w:val="0"/>
                <w14:ligatures w14:val="none"/>
              </w:rPr>
              <w:t xml:space="preserve"> gestation</w:t>
            </w:r>
          </w:p>
        </w:tc>
      </w:tr>
      <w:tr w:rsidR="00077D0B" w:rsidRPr="00077D0B" w14:paraId="3F8E7F74" w14:textId="77777777" w:rsidTr="00077D0B">
        <w:trPr>
          <w:tblCellSpacing w:w="15" w:type="dxa"/>
        </w:trPr>
        <w:tc>
          <w:tcPr>
            <w:tcW w:w="0" w:type="auto"/>
            <w:tcMar>
              <w:top w:w="56" w:type="dxa"/>
              <w:left w:w="56" w:type="dxa"/>
              <w:bottom w:w="56" w:type="dxa"/>
              <w:right w:w="56" w:type="dxa"/>
            </w:tcMar>
            <w:hideMark/>
          </w:tcPr>
          <w:p w14:paraId="703E2DF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1C778D8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Low birthweight for gestation</w:t>
            </w:r>
          </w:p>
        </w:tc>
        <w:tc>
          <w:tcPr>
            <w:tcW w:w="3773" w:type="dxa"/>
            <w:tcMar>
              <w:top w:w="56" w:type="dxa"/>
              <w:left w:w="56" w:type="dxa"/>
              <w:bottom w:w="56" w:type="dxa"/>
              <w:right w:w="56" w:type="dxa"/>
            </w:tcMar>
            <w:hideMark/>
          </w:tcPr>
          <w:p w14:paraId="317CE0C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births occurring in 500 g categories starting from &lt;500 g to 4000–4499 g</w:t>
            </w:r>
          </w:p>
        </w:tc>
        <w:tc>
          <w:tcPr>
            <w:tcW w:w="3645" w:type="dxa"/>
            <w:tcMar>
              <w:top w:w="56" w:type="dxa"/>
              <w:left w:w="56" w:type="dxa"/>
              <w:bottom w:w="56" w:type="dxa"/>
              <w:right w:w="56" w:type="dxa"/>
            </w:tcMar>
            <w:hideMark/>
          </w:tcPr>
          <w:p w14:paraId="1EC8651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4500–4999 g birthweight</w:t>
            </w:r>
          </w:p>
        </w:tc>
      </w:tr>
      <w:tr w:rsidR="00077D0B" w:rsidRPr="00077D0B" w14:paraId="70047F75" w14:textId="77777777" w:rsidTr="00077D0B">
        <w:trPr>
          <w:tblCellSpacing w:w="15" w:type="dxa"/>
        </w:trPr>
        <w:tc>
          <w:tcPr>
            <w:tcW w:w="0" w:type="auto"/>
            <w:tcMar>
              <w:top w:w="56" w:type="dxa"/>
              <w:left w:w="56" w:type="dxa"/>
              <w:bottom w:w="56" w:type="dxa"/>
              <w:right w:w="56" w:type="dxa"/>
            </w:tcMar>
            <w:hideMark/>
          </w:tcPr>
          <w:p w14:paraId="58BC626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4E18CEE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Iron deficiency</w:t>
            </w:r>
          </w:p>
        </w:tc>
        <w:tc>
          <w:tcPr>
            <w:tcW w:w="3773" w:type="dxa"/>
            <w:tcMar>
              <w:top w:w="56" w:type="dxa"/>
              <w:left w:w="56" w:type="dxa"/>
              <w:bottom w:w="56" w:type="dxa"/>
              <w:right w:w="56" w:type="dxa"/>
            </w:tcMar>
            <w:hideMark/>
          </w:tcPr>
          <w:p w14:paraId="28C675E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Peripheral blood </w:t>
            </w:r>
            <w:proofErr w:type="spellStart"/>
            <w:r w:rsidRPr="00077D0B">
              <w:rPr>
                <w:rFonts w:ascii="Times New Roman" w:eastAsia="Times New Roman" w:hAnsi="Times New Roman" w:cs="Times New Roman"/>
                <w:kern w:val="0"/>
                <w14:ligatures w14:val="none"/>
              </w:rPr>
              <w:t>haemoglobin</w:t>
            </w:r>
            <w:proofErr w:type="spellEnd"/>
            <w:r w:rsidRPr="00077D0B">
              <w:rPr>
                <w:rFonts w:ascii="Times New Roman" w:eastAsia="Times New Roman" w:hAnsi="Times New Roman" w:cs="Times New Roman"/>
                <w:kern w:val="0"/>
                <w14:ligatures w14:val="none"/>
              </w:rPr>
              <w:t xml:space="preserve"> concentration in g/L</w:t>
            </w:r>
          </w:p>
        </w:tc>
        <w:tc>
          <w:tcPr>
            <w:tcW w:w="3645" w:type="dxa"/>
            <w:tcMar>
              <w:top w:w="56" w:type="dxa"/>
              <w:left w:w="56" w:type="dxa"/>
              <w:bottom w:w="56" w:type="dxa"/>
              <w:right w:w="56" w:type="dxa"/>
            </w:tcMar>
            <w:hideMark/>
          </w:tcPr>
          <w:p w14:paraId="60A697D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Counterfactual </w:t>
            </w:r>
            <w:proofErr w:type="spellStart"/>
            <w:r w:rsidRPr="00077D0B">
              <w:rPr>
                <w:rFonts w:ascii="Times New Roman" w:eastAsia="Times New Roman" w:hAnsi="Times New Roman" w:cs="Times New Roman"/>
                <w:kern w:val="0"/>
                <w14:ligatures w14:val="none"/>
              </w:rPr>
              <w:t>haemoglobin</w:t>
            </w:r>
            <w:proofErr w:type="spellEnd"/>
            <w:r w:rsidRPr="00077D0B">
              <w:rPr>
                <w:rFonts w:ascii="Times New Roman" w:eastAsia="Times New Roman" w:hAnsi="Times New Roman" w:cs="Times New Roman"/>
                <w:kern w:val="0"/>
                <w14:ligatures w14:val="none"/>
              </w:rPr>
              <w:t xml:space="preserve"> concentration in the </w:t>
            </w:r>
            <w:proofErr w:type="spellStart"/>
            <w:r w:rsidRPr="00077D0B">
              <w:rPr>
                <w:rFonts w:ascii="Times New Roman" w:eastAsia="Times New Roman" w:hAnsi="Times New Roman" w:cs="Times New Roman"/>
                <w:kern w:val="0"/>
                <w14:ligatures w14:val="none"/>
              </w:rPr>
              <w:t>abscence</w:t>
            </w:r>
            <w:proofErr w:type="spellEnd"/>
            <w:r w:rsidRPr="00077D0B">
              <w:rPr>
                <w:rFonts w:ascii="Times New Roman" w:eastAsia="Times New Roman" w:hAnsi="Times New Roman" w:cs="Times New Roman"/>
                <w:kern w:val="0"/>
                <w14:ligatures w14:val="none"/>
              </w:rPr>
              <w:t xml:space="preserve"> of iron deficiency in g/L</w:t>
            </w:r>
          </w:p>
        </w:tc>
      </w:tr>
      <w:tr w:rsidR="00077D0B" w:rsidRPr="00077D0B" w14:paraId="22D57E68" w14:textId="77777777" w:rsidTr="00077D0B">
        <w:trPr>
          <w:tblCellSpacing w:w="15" w:type="dxa"/>
        </w:trPr>
        <w:tc>
          <w:tcPr>
            <w:tcW w:w="0" w:type="auto"/>
            <w:tcMar>
              <w:top w:w="56" w:type="dxa"/>
              <w:left w:w="56" w:type="dxa"/>
              <w:bottom w:w="56" w:type="dxa"/>
              <w:right w:w="56" w:type="dxa"/>
            </w:tcMar>
            <w:hideMark/>
          </w:tcPr>
          <w:p w14:paraId="779A92F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0057B2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Vitamin A deficiency</w:t>
            </w:r>
          </w:p>
        </w:tc>
        <w:tc>
          <w:tcPr>
            <w:tcW w:w="3773" w:type="dxa"/>
            <w:tcMar>
              <w:top w:w="56" w:type="dxa"/>
              <w:left w:w="56" w:type="dxa"/>
              <w:bottom w:w="56" w:type="dxa"/>
              <w:right w:w="56" w:type="dxa"/>
            </w:tcMar>
            <w:hideMark/>
          </w:tcPr>
          <w:p w14:paraId="6D535F0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Proportion of children aged 0–5 years with serum retinol concentration &lt;0·7 </w:t>
            </w:r>
            <w:proofErr w:type="spellStart"/>
            <w:r w:rsidRPr="00077D0B">
              <w:rPr>
                <w:rFonts w:ascii="Times New Roman" w:eastAsia="Times New Roman" w:hAnsi="Times New Roman" w:cs="Times New Roman"/>
                <w:kern w:val="0"/>
                <w14:ligatures w14:val="none"/>
              </w:rPr>
              <w:t>μmol</w:t>
            </w:r>
            <w:proofErr w:type="spellEnd"/>
            <w:r w:rsidRPr="00077D0B">
              <w:rPr>
                <w:rFonts w:ascii="Times New Roman" w:eastAsia="Times New Roman" w:hAnsi="Times New Roman" w:cs="Times New Roman"/>
                <w:kern w:val="0"/>
                <w14:ligatures w14:val="none"/>
              </w:rPr>
              <w:t>/L</w:t>
            </w:r>
          </w:p>
        </w:tc>
        <w:tc>
          <w:tcPr>
            <w:tcW w:w="3645" w:type="dxa"/>
            <w:tcMar>
              <w:top w:w="56" w:type="dxa"/>
              <w:left w:w="56" w:type="dxa"/>
              <w:bottom w:w="56" w:type="dxa"/>
              <w:right w:w="56" w:type="dxa"/>
            </w:tcMar>
            <w:hideMark/>
          </w:tcPr>
          <w:p w14:paraId="3270E4F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childhood vitamin A deficiency</w:t>
            </w:r>
          </w:p>
        </w:tc>
      </w:tr>
      <w:tr w:rsidR="00077D0B" w:rsidRPr="00077D0B" w14:paraId="6F6800C0" w14:textId="77777777" w:rsidTr="00077D0B">
        <w:trPr>
          <w:tblCellSpacing w:w="15" w:type="dxa"/>
        </w:trPr>
        <w:tc>
          <w:tcPr>
            <w:tcW w:w="0" w:type="auto"/>
            <w:tcMar>
              <w:top w:w="56" w:type="dxa"/>
              <w:left w:w="56" w:type="dxa"/>
              <w:bottom w:w="56" w:type="dxa"/>
              <w:right w:w="56" w:type="dxa"/>
            </w:tcMar>
            <w:hideMark/>
          </w:tcPr>
          <w:p w14:paraId="735F27A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3</w:t>
            </w:r>
          </w:p>
        </w:tc>
        <w:tc>
          <w:tcPr>
            <w:tcW w:w="0" w:type="auto"/>
            <w:tcMar>
              <w:top w:w="56" w:type="dxa"/>
              <w:left w:w="56" w:type="dxa"/>
              <w:bottom w:w="56" w:type="dxa"/>
              <w:right w:w="56" w:type="dxa"/>
            </w:tcMar>
            <w:hideMark/>
          </w:tcPr>
          <w:p w14:paraId="24823E7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Zinc deficiency</w:t>
            </w:r>
          </w:p>
        </w:tc>
        <w:tc>
          <w:tcPr>
            <w:tcW w:w="3773" w:type="dxa"/>
            <w:tcMar>
              <w:top w:w="56" w:type="dxa"/>
              <w:left w:w="56" w:type="dxa"/>
              <w:bottom w:w="56" w:type="dxa"/>
              <w:right w:w="56" w:type="dxa"/>
            </w:tcMar>
            <w:hideMark/>
          </w:tcPr>
          <w:p w14:paraId="33A41A0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with inadequate zinc intake versus loss</w:t>
            </w:r>
          </w:p>
        </w:tc>
        <w:tc>
          <w:tcPr>
            <w:tcW w:w="3645" w:type="dxa"/>
            <w:tcMar>
              <w:top w:w="56" w:type="dxa"/>
              <w:left w:w="56" w:type="dxa"/>
              <w:bottom w:w="56" w:type="dxa"/>
              <w:right w:w="56" w:type="dxa"/>
            </w:tcMar>
            <w:hideMark/>
          </w:tcPr>
          <w:p w14:paraId="398839F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inadequate zinc intake</w:t>
            </w:r>
          </w:p>
        </w:tc>
      </w:tr>
      <w:tr w:rsidR="00077D0B" w:rsidRPr="00077D0B" w14:paraId="329F6E28" w14:textId="77777777" w:rsidTr="00077D0B">
        <w:trPr>
          <w:tblCellSpacing w:w="15" w:type="dxa"/>
        </w:trPr>
        <w:tc>
          <w:tcPr>
            <w:tcW w:w="0" w:type="auto"/>
            <w:tcMar>
              <w:top w:w="56" w:type="dxa"/>
              <w:left w:w="56" w:type="dxa"/>
              <w:bottom w:w="56" w:type="dxa"/>
              <w:right w:w="56" w:type="dxa"/>
            </w:tcMar>
            <w:hideMark/>
          </w:tcPr>
          <w:p w14:paraId="03F1AF2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69DA1AB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Tobacco</w:t>
            </w:r>
          </w:p>
        </w:tc>
        <w:tc>
          <w:tcPr>
            <w:tcW w:w="3773" w:type="dxa"/>
            <w:tcMar>
              <w:top w:w="56" w:type="dxa"/>
              <w:left w:w="56" w:type="dxa"/>
              <w:bottom w:w="56" w:type="dxa"/>
              <w:right w:w="56" w:type="dxa"/>
            </w:tcMar>
            <w:hideMark/>
          </w:tcPr>
          <w:p w14:paraId="6F3F3E8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684FE59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w:t>
            </w:r>
          </w:p>
        </w:tc>
      </w:tr>
      <w:tr w:rsidR="00077D0B" w:rsidRPr="00077D0B" w14:paraId="0981B940" w14:textId="77777777" w:rsidTr="00077D0B">
        <w:trPr>
          <w:tblCellSpacing w:w="15" w:type="dxa"/>
        </w:trPr>
        <w:tc>
          <w:tcPr>
            <w:tcW w:w="0" w:type="auto"/>
            <w:tcMar>
              <w:top w:w="56" w:type="dxa"/>
              <w:left w:w="56" w:type="dxa"/>
              <w:bottom w:w="56" w:type="dxa"/>
              <w:right w:w="56" w:type="dxa"/>
            </w:tcMar>
            <w:hideMark/>
          </w:tcPr>
          <w:p w14:paraId="2951C4A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40F134F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Smoking</w:t>
            </w:r>
          </w:p>
        </w:tc>
        <w:tc>
          <w:tcPr>
            <w:tcW w:w="3773" w:type="dxa"/>
            <w:tcMar>
              <w:top w:w="56" w:type="dxa"/>
              <w:left w:w="56" w:type="dxa"/>
              <w:bottom w:w="56" w:type="dxa"/>
              <w:right w:w="56" w:type="dxa"/>
            </w:tcMar>
            <w:hideMark/>
          </w:tcPr>
          <w:p w14:paraId="008AF2A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Smoking Impact Ratio method: cumulative exposure to smoked tobacco products, proxied by excess lung cancer mortality; direct smoking: </w:t>
            </w:r>
            <w:proofErr w:type="gramStart"/>
            <w:r w:rsidRPr="00077D0B">
              <w:rPr>
                <w:rFonts w:ascii="Times New Roman" w:eastAsia="Times New Roman" w:hAnsi="Times New Roman" w:cs="Times New Roman"/>
                <w:kern w:val="0"/>
                <w14:ligatures w14:val="none"/>
              </w:rPr>
              <w:t>5 year</w:t>
            </w:r>
            <w:proofErr w:type="gramEnd"/>
            <w:r w:rsidRPr="00077D0B">
              <w:rPr>
                <w:rFonts w:ascii="Times New Roman" w:eastAsia="Times New Roman" w:hAnsi="Times New Roman" w:cs="Times New Roman"/>
                <w:kern w:val="0"/>
                <w14:ligatures w14:val="none"/>
              </w:rPr>
              <w:t xml:space="preserve"> lagged proportion of the population who currently smoke daily</w:t>
            </w:r>
          </w:p>
        </w:tc>
        <w:tc>
          <w:tcPr>
            <w:tcW w:w="3645" w:type="dxa"/>
            <w:tcMar>
              <w:top w:w="56" w:type="dxa"/>
              <w:left w:w="56" w:type="dxa"/>
              <w:bottom w:w="56" w:type="dxa"/>
              <w:right w:w="56" w:type="dxa"/>
            </w:tcMar>
            <w:hideMark/>
          </w:tcPr>
          <w:p w14:paraId="6D8CC11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individuals are lifelong non-smokers</w:t>
            </w:r>
          </w:p>
        </w:tc>
      </w:tr>
      <w:tr w:rsidR="00077D0B" w:rsidRPr="00077D0B" w14:paraId="39F9C1FB" w14:textId="77777777" w:rsidTr="00077D0B">
        <w:trPr>
          <w:tblCellSpacing w:w="15" w:type="dxa"/>
        </w:trPr>
        <w:tc>
          <w:tcPr>
            <w:tcW w:w="0" w:type="auto"/>
            <w:tcMar>
              <w:top w:w="56" w:type="dxa"/>
              <w:left w:w="56" w:type="dxa"/>
              <w:bottom w:w="56" w:type="dxa"/>
              <w:right w:w="56" w:type="dxa"/>
            </w:tcMar>
            <w:hideMark/>
          </w:tcPr>
          <w:p w14:paraId="50AC93E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7B2117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Smokeless tobacco</w:t>
            </w:r>
          </w:p>
        </w:tc>
        <w:tc>
          <w:tcPr>
            <w:tcW w:w="3773" w:type="dxa"/>
            <w:tcMar>
              <w:top w:w="56" w:type="dxa"/>
              <w:left w:w="56" w:type="dxa"/>
              <w:bottom w:w="56" w:type="dxa"/>
              <w:right w:w="56" w:type="dxa"/>
            </w:tcMar>
            <w:hideMark/>
          </w:tcPr>
          <w:p w14:paraId="55546C8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Current use of any smokeless tobacco product</w:t>
            </w:r>
          </w:p>
        </w:tc>
        <w:tc>
          <w:tcPr>
            <w:tcW w:w="3645" w:type="dxa"/>
            <w:tcMar>
              <w:top w:w="56" w:type="dxa"/>
              <w:left w:w="56" w:type="dxa"/>
              <w:bottom w:w="56" w:type="dxa"/>
              <w:right w:w="56" w:type="dxa"/>
            </w:tcMar>
            <w:hideMark/>
          </w:tcPr>
          <w:p w14:paraId="22D350C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individuals are lifelong non-users of smokeless tobacco products</w:t>
            </w:r>
          </w:p>
        </w:tc>
      </w:tr>
      <w:tr w:rsidR="00077D0B" w:rsidRPr="00077D0B" w14:paraId="2162B14D" w14:textId="77777777" w:rsidTr="00077D0B">
        <w:trPr>
          <w:tblCellSpacing w:w="15" w:type="dxa"/>
        </w:trPr>
        <w:tc>
          <w:tcPr>
            <w:tcW w:w="0" w:type="auto"/>
            <w:tcMar>
              <w:top w:w="56" w:type="dxa"/>
              <w:left w:w="56" w:type="dxa"/>
              <w:bottom w:w="56" w:type="dxa"/>
              <w:right w:w="56" w:type="dxa"/>
            </w:tcMar>
            <w:hideMark/>
          </w:tcPr>
          <w:p w14:paraId="3D93800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EA2FE6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Second-hand smoke</w:t>
            </w:r>
          </w:p>
        </w:tc>
        <w:tc>
          <w:tcPr>
            <w:tcW w:w="3773" w:type="dxa"/>
            <w:tcMar>
              <w:top w:w="56" w:type="dxa"/>
              <w:left w:w="56" w:type="dxa"/>
              <w:bottom w:w="56" w:type="dxa"/>
              <w:right w:w="56" w:type="dxa"/>
            </w:tcMar>
            <w:hideMark/>
          </w:tcPr>
          <w:p w14:paraId="2E05C2C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Average daily exposure to air particulate matter in the home from second-hand smoke with an aerodynamic diameter smaller than 2·5 </w:t>
            </w:r>
            <w:proofErr w:type="spellStart"/>
            <w:r w:rsidRPr="00077D0B">
              <w:rPr>
                <w:rFonts w:ascii="Times New Roman" w:eastAsia="Times New Roman" w:hAnsi="Times New Roman" w:cs="Times New Roman"/>
                <w:kern w:val="0"/>
                <w14:ligatures w14:val="none"/>
              </w:rPr>
              <w:t>μg</w:t>
            </w:r>
            <w:proofErr w:type="spellEnd"/>
            <w:r w:rsidRPr="00077D0B">
              <w:rPr>
                <w:rFonts w:ascii="Times New Roman" w:eastAsia="Times New Roman" w:hAnsi="Times New Roman" w:cs="Times New Roman"/>
                <w:kern w:val="0"/>
                <w14:ligatures w14:val="none"/>
              </w:rPr>
              <w:t xml:space="preserve">, measured in </w:t>
            </w:r>
            <w:proofErr w:type="spellStart"/>
            <w:r w:rsidRPr="00077D0B">
              <w:rPr>
                <w:rFonts w:ascii="Times New Roman" w:eastAsia="Times New Roman" w:hAnsi="Times New Roman" w:cs="Times New Roman"/>
                <w:kern w:val="0"/>
                <w14:ligatures w14:val="none"/>
              </w:rPr>
              <w:t>μg</w:t>
            </w:r>
            <w:proofErr w:type="spellEnd"/>
            <w:r w:rsidRPr="00077D0B">
              <w:rPr>
                <w:rFonts w:ascii="Times New Roman" w:eastAsia="Times New Roman" w:hAnsi="Times New Roman" w:cs="Times New Roman"/>
                <w:kern w:val="0"/>
                <w14:ligatures w14:val="none"/>
              </w:rPr>
              <w:t>/m3, among non-smokers living with a current daily smoker</w:t>
            </w:r>
          </w:p>
        </w:tc>
        <w:tc>
          <w:tcPr>
            <w:tcW w:w="3645" w:type="dxa"/>
            <w:tcMar>
              <w:top w:w="56" w:type="dxa"/>
              <w:left w:w="56" w:type="dxa"/>
              <w:bottom w:w="56" w:type="dxa"/>
              <w:right w:w="56" w:type="dxa"/>
            </w:tcMar>
            <w:hideMark/>
          </w:tcPr>
          <w:p w14:paraId="2E0E299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second-hand smoke exposure</w:t>
            </w:r>
          </w:p>
        </w:tc>
      </w:tr>
      <w:tr w:rsidR="00077D0B" w:rsidRPr="00077D0B" w14:paraId="3BA41377" w14:textId="77777777" w:rsidTr="00077D0B">
        <w:trPr>
          <w:tblCellSpacing w:w="15" w:type="dxa"/>
        </w:trPr>
        <w:tc>
          <w:tcPr>
            <w:tcW w:w="0" w:type="auto"/>
            <w:tcMar>
              <w:top w:w="56" w:type="dxa"/>
              <w:left w:w="56" w:type="dxa"/>
              <w:bottom w:w="56" w:type="dxa"/>
              <w:right w:w="56" w:type="dxa"/>
            </w:tcMar>
            <w:hideMark/>
          </w:tcPr>
          <w:p w14:paraId="6238AA1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32E138E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Alcohol and drug use</w:t>
            </w:r>
          </w:p>
        </w:tc>
        <w:tc>
          <w:tcPr>
            <w:tcW w:w="3773" w:type="dxa"/>
            <w:tcMar>
              <w:top w:w="56" w:type="dxa"/>
              <w:left w:w="56" w:type="dxa"/>
              <w:bottom w:w="56" w:type="dxa"/>
              <w:right w:w="56" w:type="dxa"/>
            </w:tcMar>
            <w:hideMark/>
          </w:tcPr>
          <w:p w14:paraId="054FB60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5E06FD6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358902E1" w14:textId="77777777" w:rsidTr="00077D0B">
        <w:trPr>
          <w:tblCellSpacing w:w="15" w:type="dxa"/>
        </w:trPr>
        <w:tc>
          <w:tcPr>
            <w:tcW w:w="0" w:type="auto"/>
            <w:tcMar>
              <w:top w:w="56" w:type="dxa"/>
              <w:left w:w="56" w:type="dxa"/>
              <w:bottom w:w="56" w:type="dxa"/>
              <w:right w:w="56" w:type="dxa"/>
            </w:tcMar>
            <w:hideMark/>
          </w:tcPr>
          <w:p w14:paraId="208B8D4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24B8B15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Alcohol use</w:t>
            </w:r>
          </w:p>
        </w:tc>
        <w:tc>
          <w:tcPr>
            <w:tcW w:w="3773" w:type="dxa"/>
            <w:tcMar>
              <w:top w:w="56" w:type="dxa"/>
              <w:left w:w="56" w:type="dxa"/>
              <w:bottom w:w="56" w:type="dxa"/>
              <w:right w:w="56" w:type="dxa"/>
            </w:tcMar>
            <w:hideMark/>
          </w:tcPr>
          <w:p w14:paraId="5C7845C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Average daily alcohol consumption of pure alcohol (measured in g per day) in current drinkers who had consumed alcohol during the past 12 months; binge drinking: proportion of the population reporting binge consumption of at least 60 g for </w:t>
            </w:r>
            <w:r w:rsidRPr="00077D0B">
              <w:rPr>
                <w:rFonts w:ascii="Times New Roman" w:eastAsia="Times New Roman" w:hAnsi="Times New Roman" w:cs="Times New Roman"/>
                <w:kern w:val="0"/>
                <w14:ligatures w14:val="none"/>
              </w:rPr>
              <w:lastRenderedPageBreak/>
              <w:t>males and 48 g for females of pure alcohol on a single occasion</w:t>
            </w:r>
          </w:p>
        </w:tc>
        <w:tc>
          <w:tcPr>
            <w:tcW w:w="3645" w:type="dxa"/>
            <w:tcMar>
              <w:top w:w="56" w:type="dxa"/>
              <w:left w:w="56" w:type="dxa"/>
              <w:bottom w:w="56" w:type="dxa"/>
              <w:right w:w="56" w:type="dxa"/>
            </w:tcMar>
            <w:hideMark/>
          </w:tcPr>
          <w:p w14:paraId="0D1A923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No alcohol consumption</w:t>
            </w:r>
          </w:p>
        </w:tc>
      </w:tr>
      <w:tr w:rsidR="00077D0B" w:rsidRPr="00077D0B" w14:paraId="5CA87FA0" w14:textId="77777777" w:rsidTr="00077D0B">
        <w:trPr>
          <w:tblCellSpacing w:w="15" w:type="dxa"/>
        </w:trPr>
        <w:tc>
          <w:tcPr>
            <w:tcW w:w="0" w:type="auto"/>
            <w:tcMar>
              <w:top w:w="56" w:type="dxa"/>
              <w:left w:w="56" w:type="dxa"/>
              <w:bottom w:w="56" w:type="dxa"/>
              <w:right w:w="56" w:type="dxa"/>
            </w:tcMar>
            <w:hideMark/>
          </w:tcPr>
          <w:p w14:paraId="64404F6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1232D7D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Drug use</w:t>
            </w:r>
          </w:p>
        </w:tc>
        <w:tc>
          <w:tcPr>
            <w:tcW w:w="3773" w:type="dxa"/>
            <w:tcMar>
              <w:top w:w="56" w:type="dxa"/>
              <w:left w:w="56" w:type="dxa"/>
              <w:bottom w:w="56" w:type="dxa"/>
              <w:right w:w="56" w:type="dxa"/>
            </w:tcMar>
            <w:hideMark/>
          </w:tcPr>
          <w:p w14:paraId="438F408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dependent upon opioids, cannabis, cocaine, or amphetamines; proportion of the population who have ever injected drugs</w:t>
            </w:r>
          </w:p>
        </w:tc>
        <w:tc>
          <w:tcPr>
            <w:tcW w:w="3645" w:type="dxa"/>
            <w:tcMar>
              <w:top w:w="56" w:type="dxa"/>
              <w:left w:w="56" w:type="dxa"/>
              <w:bottom w:w="56" w:type="dxa"/>
              <w:right w:w="56" w:type="dxa"/>
            </w:tcMar>
            <w:hideMark/>
          </w:tcPr>
          <w:p w14:paraId="69AA4FD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drug use</w:t>
            </w:r>
          </w:p>
        </w:tc>
      </w:tr>
      <w:tr w:rsidR="00077D0B" w:rsidRPr="00077D0B" w14:paraId="05CA5771" w14:textId="77777777" w:rsidTr="00077D0B">
        <w:trPr>
          <w:tblCellSpacing w:w="15" w:type="dxa"/>
        </w:trPr>
        <w:tc>
          <w:tcPr>
            <w:tcW w:w="0" w:type="auto"/>
            <w:tcMar>
              <w:top w:w="56" w:type="dxa"/>
              <w:left w:w="56" w:type="dxa"/>
              <w:bottom w:w="56" w:type="dxa"/>
              <w:right w:w="56" w:type="dxa"/>
            </w:tcMar>
            <w:hideMark/>
          </w:tcPr>
          <w:p w14:paraId="4734F44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558BB80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Dietary risks</w:t>
            </w:r>
          </w:p>
        </w:tc>
        <w:tc>
          <w:tcPr>
            <w:tcW w:w="3773" w:type="dxa"/>
            <w:tcMar>
              <w:top w:w="56" w:type="dxa"/>
              <w:left w:w="56" w:type="dxa"/>
              <w:bottom w:w="56" w:type="dxa"/>
              <w:right w:w="56" w:type="dxa"/>
            </w:tcMar>
            <w:hideMark/>
          </w:tcPr>
          <w:p w14:paraId="6C20EBB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4600BF2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247CB171" w14:textId="77777777" w:rsidTr="00077D0B">
        <w:trPr>
          <w:tblCellSpacing w:w="15" w:type="dxa"/>
        </w:trPr>
        <w:tc>
          <w:tcPr>
            <w:tcW w:w="0" w:type="auto"/>
            <w:tcMar>
              <w:top w:w="56" w:type="dxa"/>
              <w:left w:w="56" w:type="dxa"/>
              <w:bottom w:w="56" w:type="dxa"/>
              <w:right w:w="56" w:type="dxa"/>
            </w:tcMar>
            <w:hideMark/>
          </w:tcPr>
          <w:p w14:paraId="3E892D0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2F91D22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fruits</w:t>
            </w:r>
          </w:p>
        </w:tc>
        <w:tc>
          <w:tcPr>
            <w:tcW w:w="3773" w:type="dxa"/>
            <w:tcMar>
              <w:top w:w="56" w:type="dxa"/>
              <w:left w:w="56" w:type="dxa"/>
              <w:bottom w:w="56" w:type="dxa"/>
              <w:right w:w="56" w:type="dxa"/>
            </w:tcMar>
            <w:hideMark/>
          </w:tcPr>
          <w:p w14:paraId="083886E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fruits (fresh, frozen, cooked, canned, or dried fruits, excluding fruit juices and salted or pickled fruits)</w:t>
            </w:r>
          </w:p>
        </w:tc>
        <w:tc>
          <w:tcPr>
            <w:tcW w:w="3645" w:type="dxa"/>
            <w:tcMar>
              <w:top w:w="56" w:type="dxa"/>
              <w:left w:w="56" w:type="dxa"/>
              <w:bottom w:w="56" w:type="dxa"/>
              <w:right w:w="56" w:type="dxa"/>
            </w:tcMar>
            <w:hideMark/>
          </w:tcPr>
          <w:p w14:paraId="7B9CFAA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fruit between 200 g and 300 g per day</w:t>
            </w:r>
          </w:p>
        </w:tc>
      </w:tr>
      <w:tr w:rsidR="00077D0B" w:rsidRPr="00077D0B" w14:paraId="58FE426A" w14:textId="77777777" w:rsidTr="00077D0B">
        <w:trPr>
          <w:tblCellSpacing w:w="15" w:type="dxa"/>
        </w:trPr>
        <w:tc>
          <w:tcPr>
            <w:tcW w:w="0" w:type="auto"/>
            <w:tcMar>
              <w:top w:w="56" w:type="dxa"/>
              <w:left w:w="56" w:type="dxa"/>
              <w:bottom w:w="56" w:type="dxa"/>
              <w:right w:w="56" w:type="dxa"/>
            </w:tcMar>
            <w:hideMark/>
          </w:tcPr>
          <w:p w14:paraId="5EAFF2B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1F007A2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vegetables</w:t>
            </w:r>
          </w:p>
        </w:tc>
        <w:tc>
          <w:tcPr>
            <w:tcW w:w="3773" w:type="dxa"/>
            <w:tcMar>
              <w:top w:w="56" w:type="dxa"/>
              <w:left w:w="56" w:type="dxa"/>
              <w:bottom w:w="56" w:type="dxa"/>
              <w:right w:w="56" w:type="dxa"/>
            </w:tcMar>
            <w:hideMark/>
          </w:tcPr>
          <w:p w14:paraId="705B122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vegetables (fresh, frozen, cooked, canned, or dried vegetables, excluding legumes and salted or pickled vegetables, juices, nuts, and seeds, and starchy vegetables such as potatoes or corn)</w:t>
            </w:r>
          </w:p>
        </w:tc>
        <w:tc>
          <w:tcPr>
            <w:tcW w:w="3645" w:type="dxa"/>
            <w:tcMar>
              <w:top w:w="56" w:type="dxa"/>
              <w:left w:w="56" w:type="dxa"/>
              <w:bottom w:w="56" w:type="dxa"/>
              <w:right w:w="56" w:type="dxa"/>
            </w:tcMar>
            <w:hideMark/>
          </w:tcPr>
          <w:p w14:paraId="70D4D9F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vegetables between 290 g and 430 g per day</w:t>
            </w:r>
          </w:p>
        </w:tc>
      </w:tr>
      <w:tr w:rsidR="00077D0B" w:rsidRPr="00077D0B" w14:paraId="324F1268" w14:textId="77777777" w:rsidTr="00077D0B">
        <w:trPr>
          <w:tblCellSpacing w:w="15" w:type="dxa"/>
        </w:trPr>
        <w:tc>
          <w:tcPr>
            <w:tcW w:w="0" w:type="auto"/>
            <w:tcMar>
              <w:top w:w="56" w:type="dxa"/>
              <w:left w:w="56" w:type="dxa"/>
              <w:bottom w:w="56" w:type="dxa"/>
              <w:right w:w="56" w:type="dxa"/>
            </w:tcMar>
            <w:hideMark/>
          </w:tcPr>
          <w:p w14:paraId="2D46D10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10CD97F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legumes</w:t>
            </w:r>
          </w:p>
        </w:tc>
        <w:tc>
          <w:tcPr>
            <w:tcW w:w="3773" w:type="dxa"/>
            <w:tcMar>
              <w:top w:w="56" w:type="dxa"/>
              <w:left w:w="56" w:type="dxa"/>
              <w:bottom w:w="56" w:type="dxa"/>
              <w:right w:w="56" w:type="dxa"/>
            </w:tcMar>
            <w:hideMark/>
          </w:tcPr>
          <w:p w14:paraId="3A4BAED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legumes (fresh, frozen, cooked, canned, or dried legumes)</w:t>
            </w:r>
          </w:p>
        </w:tc>
        <w:tc>
          <w:tcPr>
            <w:tcW w:w="3645" w:type="dxa"/>
            <w:tcMar>
              <w:top w:w="56" w:type="dxa"/>
              <w:left w:w="56" w:type="dxa"/>
              <w:bottom w:w="56" w:type="dxa"/>
              <w:right w:w="56" w:type="dxa"/>
            </w:tcMar>
            <w:hideMark/>
          </w:tcPr>
          <w:p w14:paraId="047EDB8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legumes between 50 g and 70 g per day</w:t>
            </w:r>
          </w:p>
        </w:tc>
      </w:tr>
      <w:tr w:rsidR="00077D0B" w:rsidRPr="00077D0B" w14:paraId="71428B70" w14:textId="77777777" w:rsidTr="00077D0B">
        <w:trPr>
          <w:tblCellSpacing w:w="15" w:type="dxa"/>
        </w:trPr>
        <w:tc>
          <w:tcPr>
            <w:tcW w:w="0" w:type="auto"/>
            <w:tcMar>
              <w:top w:w="56" w:type="dxa"/>
              <w:left w:w="56" w:type="dxa"/>
              <w:bottom w:w="56" w:type="dxa"/>
              <w:right w:w="56" w:type="dxa"/>
            </w:tcMar>
            <w:hideMark/>
          </w:tcPr>
          <w:p w14:paraId="1E81FA4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B6BF94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whole grains</w:t>
            </w:r>
          </w:p>
        </w:tc>
        <w:tc>
          <w:tcPr>
            <w:tcW w:w="3773" w:type="dxa"/>
            <w:tcMar>
              <w:top w:w="56" w:type="dxa"/>
              <w:left w:w="56" w:type="dxa"/>
              <w:bottom w:w="56" w:type="dxa"/>
              <w:right w:w="56" w:type="dxa"/>
            </w:tcMar>
            <w:hideMark/>
          </w:tcPr>
          <w:p w14:paraId="7846A6B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whole grains (bran, germ, and endosperm in their natural proportion) from breakfast cereals, bread, rice, pasta, biscuits, muffins, tortillas, pancakes, and other sources</w:t>
            </w:r>
          </w:p>
        </w:tc>
        <w:tc>
          <w:tcPr>
            <w:tcW w:w="3645" w:type="dxa"/>
            <w:tcMar>
              <w:top w:w="56" w:type="dxa"/>
              <w:left w:w="56" w:type="dxa"/>
              <w:bottom w:w="56" w:type="dxa"/>
              <w:right w:w="56" w:type="dxa"/>
            </w:tcMar>
            <w:hideMark/>
          </w:tcPr>
          <w:p w14:paraId="497725A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whole grains between 100 g and 150 g per day</w:t>
            </w:r>
          </w:p>
        </w:tc>
      </w:tr>
      <w:tr w:rsidR="00077D0B" w:rsidRPr="00077D0B" w14:paraId="19A5907E" w14:textId="77777777" w:rsidTr="00077D0B">
        <w:trPr>
          <w:tblCellSpacing w:w="15" w:type="dxa"/>
        </w:trPr>
        <w:tc>
          <w:tcPr>
            <w:tcW w:w="0" w:type="auto"/>
            <w:tcMar>
              <w:top w:w="56" w:type="dxa"/>
              <w:left w:w="56" w:type="dxa"/>
              <w:bottom w:w="56" w:type="dxa"/>
              <w:right w:w="56" w:type="dxa"/>
            </w:tcMar>
            <w:hideMark/>
          </w:tcPr>
          <w:p w14:paraId="20EC3CF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3</w:t>
            </w:r>
          </w:p>
        </w:tc>
        <w:tc>
          <w:tcPr>
            <w:tcW w:w="0" w:type="auto"/>
            <w:tcMar>
              <w:top w:w="56" w:type="dxa"/>
              <w:left w:w="56" w:type="dxa"/>
              <w:bottom w:w="56" w:type="dxa"/>
              <w:right w:w="56" w:type="dxa"/>
            </w:tcMar>
            <w:hideMark/>
          </w:tcPr>
          <w:p w14:paraId="21EB1A7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nuts and seeds</w:t>
            </w:r>
          </w:p>
        </w:tc>
        <w:tc>
          <w:tcPr>
            <w:tcW w:w="3773" w:type="dxa"/>
            <w:tcMar>
              <w:top w:w="56" w:type="dxa"/>
              <w:left w:w="56" w:type="dxa"/>
              <w:bottom w:w="56" w:type="dxa"/>
              <w:right w:w="56" w:type="dxa"/>
            </w:tcMar>
            <w:hideMark/>
          </w:tcPr>
          <w:p w14:paraId="5362CEB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nut and seed foods</w:t>
            </w:r>
          </w:p>
        </w:tc>
        <w:tc>
          <w:tcPr>
            <w:tcW w:w="3645" w:type="dxa"/>
            <w:tcMar>
              <w:top w:w="56" w:type="dxa"/>
              <w:left w:w="56" w:type="dxa"/>
              <w:bottom w:w="56" w:type="dxa"/>
              <w:right w:w="56" w:type="dxa"/>
            </w:tcMar>
            <w:hideMark/>
          </w:tcPr>
          <w:p w14:paraId="10A16F5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nuts and seeds between 16 g and 25 g per day</w:t>
            </w:r>
          </w:p>
        </w:tc>
      </w:tr>
      <w:tr w:rsidR="00077D0B" w:rsidRPr="00077D0B" w14:paraId="410C203B" w14:textId="77777777" w:rsidTr="00077D0B">
        <w:trPr>
          <w:tblCellSpacing w:w="15" w:type="dxa"/>
        </w:trPr>
        <w:tc>
          <w:tcPr>
            <w:tcW w:w="0" w:type="auto"/>
            <w:tcMar>
              <w:top w:w="56" w:type="dxa"/>
              <w:left w:w="56" w:type="dxa"/>
              <w:bottom w:w="56" w:type="dxa"/>
              <w:right w:w="56" w:type="dxa"/>
            </w:tcMar>
            <w:hideMark/>
          </w:tcPr>
          <w:p w14:paraId="7FA4F95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6FDF74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milk</w:t>
            </w:r>
          </w:p>
        </w:tc>
        <w:tc>
          <w:tcPr>
            <w:tcW w:w="3773" w:type="dxa"/>
            <w:tcMar>
              <w:top w:w="56" w:type="dxa"/>
              <w:left w:w="56" w:type="dxa"/>
              <w:bottom w:w="56" w:type="dxa"/>
              <w:right w:w="56" w:type="dxa"/>
            </w:tcMar>
            <w:hideMark/>
          </w:tcPr>
          <w:p w14:paraId="0803A6F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milk including non-fat, low-fat, and full-fat milk, excluding soy milk and other plant derivatives</w:t>
            </w:r>
          </w:p>
        </w:tc>
        <w:tc>
          <w:tcPr>
            <w:tcW w:w="3645" w:type="dxa"/>
            <w:tcMar>
              <w:top w:w="56" w:type="dxa"/>
              <w:left w:w="56" w:type="dxa"/>
              <w:bottom w:w="56" w:type="dxa"/>
              <w:right w:w="56" w:type="dxa"/>
            </w:tcMar>
            <w:hideMark/>
          </w:tcPr>
          <w:p w14:paraId="0F296C0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milk between 350 g and 520 g per day</w:t>
            </w:r>
          </w:p>
        </w:tc>
      </w:tr>
      <w:tr w:rsidR="00077D0B" w:rsidRPr="00077D0B" w14:paraId="096A33FE" w14:textId="77777777" w:rsidTr="00077D0B">
        <w:trPr>
          <w:tblCellSpacing w:w="15" w:type="dxa"/>
        </w:trPr>
        <w:tc>
          <w:tcPr>
            <w:tcW w:w="0" w:type="auto"/>
            <w:tcMar>
              <w:top w:w="56" w:type="dxa"/>
              <w:left w:w="56" w:type="dxa"/>
              <w:bottom w:w="56" w:type="dxa"/>
              <w:right w:w="56" w:type="dxa"/>
            </w:tcMar>
            <w:hideMark/>
          </w:tcPr>
          <w:p w14:paraId="093D46B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ECE6E5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high in red meat</w:t>
            </w:r>
          </w:p>
        </w:tc>
        <w:tc>
          <w:tcPr>
            <w:tcW w:w="3773" w:type="dxa"/>
            <w:tcMar>
              <w:top w:w="56" w:type="dxa"/>
              <w:left w:w="56" w:type="dxa"/>
              <w:bottom w:w="56" w:type="dxa"/>
              <w:right w:w="56" w:type="dxa"/>
            </w:tcMar>
            <w:hideMark/>
          </w:tcPr>
          <w:p w14:paraId="206BB84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red meat (beef, pork, lamb, and goat but excluding poultry, fish, eggs, and all processed meats)</w:t>
            </w:r>
          </w:p>
        </w:tc>
        <w:tc>
          <w:tcPr>
            <w:tcW w:w="3645" w:type="dxa"/>
            <w:tcMar>
              <w:top w:w="56" w:type="dxa"/>
              <w:left w:w="56" w:type="dxa"/>
              <w:bottom w:w="56" w:type="dxa"/>
              <w:right w:w="56" w:type="dxa"/>
            </w:tcMar>
            <w:hideMark/>
          </w:tcPr>
          <w:p w14:paraId="5F88556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red meat between 18 g and 27 g per day</w:t>
            </w:r>
          </w:p>
        </w:tc>
      </w:tr>
      <w:tr w:rsidR="00077D0B" w:rsidRPr="00077D0B" w14:paraId="1BA8B866" w14:textId="77777777" w:rsidTr="00077D0B">
        <w:trPr>
          <w:tblCellSpacing w:w="15" w:type="dxa"/>
        </w:trPr>
        <w:tc>
          <w:tcPr>
            <w:tcW w:w="0" w:type="auto"/>
            <w:tcMar>
              <w:top w:w="56" w:type="dxa"/>
              <w:left w:w="56" w:type="dxa"/>
              <w:bottom w:w="56" w:type="dxa"/>
              <w:right w:w="56" w:type="dxa"/>
            </w:tcMar>
            <w:hideMark/>
          </w:tcPr>
          <w:p w14:paraId="4A595FF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61C2F4D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high in processed meat</w:t>
            </w:r>
          </w:p>
        </w:tc>
        <w:tc>
          <w:tcPr>
            <w:tcW w:w="3773" w:type="dxa"/>
            <w:tcMar>
              <w:top w:w="56" w:type="dxa"/>
              <w:left w:w="56" w:type="dxa"/>
              <w:bottom w:w="56" w:type="dxa"/>
              <w:right w:w="56" w:type="dxa"/>
            </w:tcMar>
            <w:hideMark/>
          </w:tcPr>
          <w:p w14:paraId="0F370CAF"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meat preserved by smoking, curing, salting, or addition of chemical preservatives</w:t>
            </w:r>
          </w:p>
        </w:tc>
        <w:tc>
          <w:tcPr>
            <w:tcW w:w="3645" w:type="dxa"/>
            <w:tcMar>
              <w:top w:w="56" w:type="dxa"/>
              <w:left w:w="56" w:type="dxa"/>
              <w:bottom w:w="56" w:type="dxa"/>
              <w:right w:w="56" w:type="dxa"/>
            </w:tcMar>
            <w:hideMark/>
          </w:tcPr>
          <w:p w14:paraId="4DEE5AB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processed meat between 0 g and 4 g per day</w:t>
            </w:r>
          </w:p>
        </w:tc>
      </w:tr>
      <w:tr w:rsidR="00077D0B" w:rsidRPr="00077D0B" w14:paraId="74563408" w14:textId="77777777" w:rsidTr="00077D0B">
        <w:trPr>
          <w:tblCellSpacing w:w="15" w:type="dxa"/>
        </w:trPr>
        <w:tc>
          <w:tcPr>
            <w:tcW w:w="0" w:type="auto"/>
            <w:tcMar>
              <w:top w:w="56" w:type="dxa"/>
              <w:left w:w="56" w:type="dxa"/>
              <w:bottom w:w="56" w:type="dxa"/>
              <w:right w:w="56" w:type="dxa"/>
            </w:tcMar>
            <w:hideMark/>
          </w:tcPr>
          <w:p w14:paraId="32B6CFF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2A54DEF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high in sugar-sweetened beverages</w:t>
            </w:r>
          </w:p>
        </w:tc>
        <w:tc>
          <w:tcPr>
            <w:tcW w:w="3773" w:type="dxa"/>
            <w:tcMar>
              <w:top w:w="56" w:type="dxa"/>
              <w:left w:w="56" w:type="dxa"/>
              <w:bottom w:w="56" w:type="dxa"/>
              <w:right w:w="56" w:type="dxa"/>
            </w:tcMar>
            <w:hideMark/>
          </w:tcPr>
          <w:p w14:paraId="14FA985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consumption of beverages with ≥50 kcal per 226·8 g serving, including carbonated beverages, sodas, energy drinks, fruit drinks, but excluding 100% fruit and vegetable juices</w:t>
            </w:r>
          </w:p>
        </w:tc>
        <w:tc>
          <w:tcPr>
            <w:tcW w:w="3645" w:type="dxa"/>
            <w:tcMar>
              <w:top w:w="56" w:type="dxa"/>
              <w:left w:w="56" w:type="dxa"/>
              <w:bottom w:w="56" w:type="dxa"/>
              <w:right w:w="56" w:type="dxa"/>
            </w:tcMar>
            <w:hideMark/>
          </w:tcPr>
          <w:p w14:paraId="6CB285E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sugar-sweetened beverages between 0 g and 5 g per day</w:t>
            </w:r>
          </w:p>
        </w:tc>
      </w:tr>
      <w:tr w:rsidR="00077D0B" w:rsidRPr="00077D0B" w14:paraId="3673D264" w14:textId="77777777" w:rsidTr="00077D0B">
        <w:trPr>
          <w:tblCellSpacing w:w="15" w:type="dxa"/>
        </w:trPr>
        <w:tc>
          <w:tcPr>
            <w:tcW w:w="0" w:type="auto"/>
            <w:tcMar>
              <w:top w:w="56" w:type="dxa"/>
              <w:left w:w="56" w:type="dxa"/>
              <w:bottom w:w="56" w:type="dxa"/>
              <w:right w:w="56" w:type="dxa"/>
            </w:tcMar>
            <w:hideMark/>
          </w:tcPr>
          <w:p w14:paraId="2A170CB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14ED0D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Diet low in </w:t>
            </w:r>
            <w:proofErr w:type="spellStart"/>
            <w:r w:rsidRPr="00077D0B">
              <w:rPr>
                <w:rFonts w:ascii="Times New Roman" w:eastAsia="Times New Roman" w:hAnsi="Times New Roman" w:cs="Times New Roman"/>
                <w:kern w:val="0"/>
                <w14:ligatures w14:val="none"/>
              </w:rPr>
              <w:t>fibre</w:t>
            </w:r>
            <w:proofErr w:type="spellEnd"/>
          </w:p>
        </w:tc>
        <w:tc>
          <w:tcPr>
            <w:tcW w:w="3773" w:type="dxa"/>
            <w:tcMar>
              <w:top w:w="56" w:type="dxa"/>
              <w:left w:w="56" w:type="dxa"/>
              <w:bottom w:w="56" w:type="dxa"/>
              <w:right w:w="56" w:type="dxa"/>
            </w:tcMar>
            <w:hideMark/>
          </w:tcPr>
          <w:p w14:paraId="57ADDF0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Average daily intake of </w:t>
            </w:r>
            <w:proofErr w:type="spellStart"/>
            <w:r w:rsidRPr="00077D0B">
              <w:rPr>
                <w:rFonts w:ascii="Times New Roman" w:eastAsia="Times New Roman" w:hAnsi="Times New Roman" w:cs="Times New Roman"/>
                <w:kern w:val="0"/>
                <w14:ligatures w14:val="none"/>
              </w:rPr>
              <w:t>fibre</w:t>
            </w:r>
            <w:proofErr w:type="spellEnd"/>
            <w:r w:rsidRPr="00077D0B">
              <w:rPr>
                <w:rFonts w:ascii="Times New Roman" w:eastAsia="Times New Roman" w:hAnsi="Times New Roman" w:cs="Times New Roman"/>
                <w:kern w:val="0"/>
                <w14:ligatures w14:val="none"/>
              </w:rPr>
              <w:t xml:space="preserve"> from all sources including fruits, vegetables, grains, legumes, and pulses</w:t>
            </w:r>
          </w:p>
        </w:tc>
        <w:tc>
          <w:tcPr>
            <w:tcW w:w="3645" w:type="dxa"/>
            <w:tcMar>
              <w:top w:w="56" w:type="dxa"/>
              <w:left w:w="56" w:type="dxa"/>
              <w:bottom w:w="56" w:type="dxa"/>
              <w:right w:w="56" w:type="dxa"/>
            </w:tcMar>
            <w:hideMark/>
          </w:tcPr>
          <w:p w14:paraId="445302F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Consumption of </w:t>
            </w:r>
            <w:proofErr w:type="spellStart"/>
            <w:r w:rsidRPr="00077D0B">
              <w:rPr>
                <w:rFonts w:ascii="Times New Roman" w:eastAsia="Times New Roman" w:hAnsi="Times New Roman" w:cs="Times New Roman"/>
                <w:kern w:val="0"/>
                <w14:ligatures w14:val="none"/>
              </w:rPr>
              <w:t>fibre</w:t>
            </w:r>
            <w:proofErr w:type="spellEnd"/>
            <w:r w:rsidRPr="00077D0B">
              <w:rPr>
                <w:rFonts w:ascii="Times New Roman" w:eastAsia="Times New Roman" w:hAnsi="Times New Roman" w:cs="Times New Roman"/>
                <w:kern w:val="0"/>
                <w14:ligatures w14:val="none"/>
              </w:rPr>
              <w:t xml:space="preserve"> between 19 g and 28 g per day</w:t>
            </w:r>
          </w:p>
        </w:tc>
      </w:tr>
      <w:tr w:rsidR="00077D0B" w:rsidRPr="00077D0B" w14:paraId="64D537FC" w14:textId="77777777" w:rsidTr="00077D0B">
        <w:trPr>
          <w:tblCellSpacing w:w="15" w:type="dxa"/>
        </w:trPr>
        <w:tc>
          <w:tcPr>
            <w:tcW w:w="0" w:type="auto"/>
            <w:tcMar>
              <w:top w:w="56" w:type="dxa"/>
              <w:left w:w="56" w:type="dxa"/>
              <w:bottom w:w="56" w:type="dxa"/>
              <w:right w:w="56" w:type="dxa"/>
            </w:tcMar>
            <w:hideMark/>
          </w:tcPr>
          <w:p w14:paraId="145B272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7F9374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calcium</w:t>
            </w:r>
          </w:p>
        </w:tc>
        <w:tc>
          <w:tcPr>
            <w:tcW w:w="3773" w:type="dxa"/>
            <w:tcMar>
              <w:top w:w="56" w:type="dxa"/>
              <w:left w:w="56" w:type="dxa"/>
              <w:bottom w:w="56" w:type="dxa"/>
              <w:right w:w="56" w:type="dxa"/>
            </w:tcMar>
            <w:hideMark/>
          </w:tcPr>
          <w:p w14:paraId="7ECA057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intake of calcium from all sources, including milk, yogurt, and cheese</w:t>
            </w:r>
          </w:p>
        </w:tc>
        <w:tc>
          <w:tcPr>
            <w:tcW w:w="3645" w:type="dxa"/>
            <w:tcMar>
              <w:top w:w="56" w:type="dxa"/>
              <w:left w:w="56" w:type="dxa"/>
              <w:bottom w:w="56" w:type="dxa"/>
              <w:right w:w="56" w:type="dxa"/>
            </w:tcMar>
            <w:hideMark/>
          </w:tcPr>
          <w:p w14:paraId="2740974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calcium between 1·00 g and 1·50 g per day</w:t>
            </w:r>
          </w:p>
        </w:tc>
      </w:tr>
      <w:tr w:rsidR="00077D0B" w:rsidRPr="00077D0B" w14:paraId="230116D6" w14:textId="77777777" w:rsidTr="00077D0B">
        <w:trPr>
          <w:tblCellSpacing w:w="15" w:type="dxa"/>
        </w:trPr>
        <w:tc>
          <w:tcPr>
            <w:tcW w:w="0" w:type="auto"/>
            <w:tcMar>
              <w:top w:w="56" w:type="dxa"/>
              <w:left w:w="56" w:type="dxa"/>
              <w:bottom w:w="56" w:type="dxa"/>
              <w:right w:w="56" w:type="dxa"/>
            </w:tcMar>
            <w:hideMark/>
          </w:tcPr>
          <w:p w14:paraId="62D19A0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3</w:t>
            </w:r>
          </w:p>
        </w:tc>
        <w:tc>
          <w:tcPr>
            <w:tcW w:w="0" w:type="auto"/>
            <w:tcMar>
              <w:top w:w="56" w:type="dxa"/>
              <w:left w:w="56" w:type="dxa"/>
              <w:bottom w:w="56" w:type="dxa"/>
              <w:right w:w="56" w:type="dxa"/>
            </w:tcMar>
            <w:hideMark/>
          </w:tcPr>
          <w:p w14:paraId="1E0F1CC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seafood omega 3 fatty acids</w:t>
            </w:r>
          </w:p>
        </w:tc>
        <w:tc>
          <w:tcPr>
            <w:tcW w:w="3773" w:type="dxa"/>
            <w:tcMar>
              <w:top w:w="56" w:type="dxa"/>
              <w:left w:w="56" w:type="dxa"/>
              <w:bottom w:w="56" w:type="dxa"/>
              <w:right w:w="56" w:type="dxa"/>
            </w:tcMar>
            <w:hideMark/>
          </w:tcPr>
          <w:p w14:paraId="44D0633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Average daily intake of </w:t>
            </w:r>
            <w:proofErr w:type="spellStart"/>
            <w:r w:rsidRPr="00077D0B">
              <w:rPr>
                <w:rFonts w:ascii="Times New Roman" w:eastAsia="Times New Roman" w:hAnsi="Times New Roman" w:cs="Times New Roman"/>
                <w:kern w:val="0"/>
                <w14:ligatures w14:val="none"/>
              </w:rPr>
              <w:t>eicosapentaenoic</w:t>
            </w:r>
            <w:proofErr w:type="spellEnd"/>
            <w:r w:rsidRPr="00077D0B">
              <w:rPr>
                <w:rFonts w:ascii="Times New Roman" w:eastAsia="Times New Roman" w:hAnsi="Times New Roman" w:cs="Times New Roman"/>
                <w:kern w:val="0"/>
                <w14:ligatures w14:val="none"/>
              </w:rPr>
              <w:t xml:space="preserve"> acid and docosahexaenoic acid</w:t>
            </w:r>
          </w:p>
        </w:tc>
        <w:tc>
          <w:tcPr>
            <w:tcW w:w="3645" w:type="dxa"/>
            <w:tcMar>
              <w:top w:w="56" w:type="dxa"/>
              <w:left w:w="56" w:type="dxa"/>
              <w:bottom w:w="56" w:type="dxa"/>
              <w:right w:w="56" w:type="dxa"/>
            </w:tcMar>
            <w:hideMark/>
          </w:tcPr>
          <w:p w14:paraId="097A720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seafood omega 3 fatty acids between 200 mg and 300 mg per day</w:t>
            </w:r>
          </w:p>
        </w:tc>
      </w:tr>
      <w:tr w:rsidR="00077D0B" w:rsidRPr="00077D0B" w14:paraId="77A9BFA4" w14:textId="77777777" w:rsidTr="00077D0B">
        <w:trPr>
          <w:tblCellSpacing w:w="15" w:type="dxa"/>
        </w:trPr>
        <w:tc>
          <w:tcPr>
            <w:tcW w:w="0" w:type="auto"/>
            <w:tcMar>
              <w:top w:w="56" w:type="dxa"/>
              <w:left w:w="56" w:type="dxa"/>
              <w:bottom w:w="56" w:type="dxa"/>
              <w:right w:w="56" w:type="dxa"/>
            </w:tcMar>
            <w:hideMark/>
          </w:tcPr>
          <w:p w14:paraId="7BD5E23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7551779"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low in polyunsaturated fatty acids</w:t>
            </w:r>
          </w:p>
        </w:tc>
        <w:tc>
          <w:tcPr>
            <w:tcW w:w="3773" w:type="dxa"/>
            <w:tcMar>
              <w:top w:w="56" w:type="dxa"/>
              <w:left w:w="56" w:type="dxa"/>
              <w:bottom w:w="56" w:type="dxa"/>
              <w:right w:w="56" w:type="dxa"/>
            </w:tcMar>
            <w:hideMark/>
          </w:tcPr>
          <w:p w14:paraId="76726A9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daily intake of omega 6 fatty acids from all sources, mainly liquid vegetable oils, including soybean oil, corn oil, and safflower oil</w:t>
            </w:r>
          </w:p>
        </w:tc>
        <w:tc>
          <w:tcPr>
            <w:tcW w:w="3645" w:type="dxa"/>
            <w:tcMar>
              <w:top w:w="56" w:type="dxa"/>
              <w:left w:w="56" w:type="dxa"/>
              <w:bottom w:w="56" w:type="dxa"/>
              <w:right w:w="56" w:type="dxa"/>
            </w:tcMar>
            <w:hideMark/>
          </w:tcPr>
          <w:p w14:paraId="1E6F7FA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Consumption of polyunsaturated fatty acids between 9% and 13% of total daily energy</w:t>
            </w:r>
          </w:p>
        </w:tc>
      </w:tr>
      <w:tr w:rsidR="00077D0B" w:rsidRPr="00077D0B" w14:paraId="53CD21F7" w14:textId="77777777" w:rsidTr="00077D0B">
        <w:trPr>
          <w:tblCellSpacing w:w="15" w:type="dxa"/>
        </w:trPr>
        <w:tc>
          <w:tcPr>
            <w:tcW w:w="0" w:type="auto"/>
            <w:tcMar>
              <w:top w:w="56" w:type="dxa"/>
              <w:left w:w="56" w:type="dxa"/>
              <w:bottom w:w="56" w:type="dxa"/>
              <w:right w:w="56" w:type="dxa"/>
            </w:tcMar>
            <w:hideMark/>
          </w:tcPr>
          <w:p w14:paraId="4629F98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357838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Diet high in </w:t>
            </w:r>
            <w:proofErr w:type="spellStart"/>
            <w:r w:rsidRPr="00077D0B">
              <w:rPr>
                <w:rFonts w:ascii="Times New Roman" w:eastAsia="Times New Roman" w:hAnsi="Times New Roman" w:cs="Times New Roman"/>
                <w:kern w:val="0"/>
                <w14:ligatures w14:val="none"/>
              </w:rPr>
              <w:t>transfatty</w:t>
            </w:r>
            <w:proofErr w:type="spellEnd"/>
            <w:r w:rsidRPr="00077D0B">
              <w:rPr>
                <w:rFonts w:ascii="Times New Roman" w:eastAsia="Times New Roman" w:hAnsi="Times New Roman" w:cs="Times New Roman"/>
                <w:kern w:val="0"/>
                <w14:ligatures w14:val="none"/>
              </w:rPr>
              <w:t xml:space="preserve"> acids</w:t>
            </w:r>
          </w:p>
        </w:tc>
        <w:tc>
          <w:tcPr>
            <w:tcW w:w="3773" w:type="dxa"/>
            <w:tcMar>
              <w:top w:w="56" w:type="dxa"/>
              <w:left w:w="56" w:type="dxa"/>
              <w:bottom w:w="56" w:type="dxa"/>
              <w:right w:w="56" w:type="dxa"/>
            </w:tcMar>
            <w:hideMark/>
          </w:tcPr>
          <w:p w14:paraId="5F5E45D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Average daily intake of </w:t>
            </w:r>
            <w:proofErr w:type="spellStart"/>
            <w:r w:rsidRPr="00077D0B">
              <w:rPr>
                <w:rFonts w:ascii="Times New Roman" w:eastAsia="Times New Roman" w:hAnsi="Times New Roman" w:cs="Times New Roman"/>
                <w:kern w:val="0"/>
                <w14:ligatures w14:val="none"/>
              </w:rPr>
              <w:t>transfat</w:t>
            </w:r>
            <w:proofErr w:type="spellEnd"/>
            <w:r w:rsidRPr="00077D0B">
              <w:rPr>
                <w:rFonts w:ascii="Times New Roman" w:eastAsia="Times New Roman" w:hAnsi="Times New Roman" w:cs="Times New Roman"/>
                <w:kern w:val="0"/>
                <w14:ligatures w14:val="none"/>
              </w:rPr>
              <w:t xml:space="preserve"> from all sources, mainly partially hydrogenated vegetable oils and ruminant products</w:t>
            </w:r>
          </w:p>
        </w:tc>
        <w:tc>
          <w:tcPr>
            <w:tcW w:w="3645" w:type="dxa"/>
            <w:tcMar>
              <w:top w:w="56" w:type="dxa"/>
              <w:left w:w="56" w:type="dxa"/>
              <w:bottom w:w="56" w:type="dxa"/>
              <w:right w:w="56" w:type="dxa"/>
            </w:tcMar>
            <w:hideMark/>
          </w:tcPr>
          <w:p w14:paraId="3EAAE50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 xml:space="preserve">Consumption of </w:t>
            </w:r>
            <w:proofErr w:type="spellStart"/>
            <w:r w:rsidRPr="00077D0B">
              <w:rPr>
                <w:rFonts w:ascii="Times New Roman" w:eastAsia="Times New Roman" w:hAnsi="Times New Roman" w:cs="Times New Roman"/>
                <w:kern w:val="0"/>
                <w14:ligatures w14:val="none"/>
              </w:rPr>
              <w:t>transfatty</w:t>
            </w:r>
            <w:proofErr w:type="spellEnd"/>
            <w:r w:rsidRPr="00077D0B">
              <w:rPr>
                <w:rFonts w:ascii="Times New Roman" w:eastAsia="Times New Roman" w:hAnsi="Times New Roman" w:cs="Times New Roman"/>
                <w:kern w:val="0"/>
                <w14:ligatures w14:val="none"/>
              </w:rPr>
              <w:t xml:space="preserve"> acids between 0% and 1% of total daily energy</w:t>
            </w:r>
          </w:p>
        </w:tc>
      </w:tr>
      <w:tr w:rsidR="00077D0B" w:rsidRPr="00077D0B" w14:paraId="0EC98AA0" w14:textId="77777777" w:rsidTr="00077D0B">
        <w:trPr>
          <w:tblCellSpacing w:w="15" w:type="dxa"/>
        </w:trPr>
        <w:tc>
          <w:tcPr>
            <w:tcW w:w="0" w:type="auto"/>
            <w:tcMar>
              <w:top w:w="56" w:type="dxa"/>
              <w:left w:w="56" w:type="dxa"/>
              <w:bottom w:w="56" w:type="dxa"/>
              <w:right w:w="56" w:type="dxa"/>
            </w:tcMar>
            <w:hideMark/>
          </w:tcPr>
          <w:p w14:paraId="7F9CEEC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428201C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Diet high in sodium</w:t>
            </w:r>
          </w:p>
        </w:tc>
        <w:tc>
          <w:tcPr>
            <w:tcW w:w="3773" w:type="dxa"/>
            <w:tcMar>
              <w:top w:w="56" w:type="dxa"/>
              <w:left w:w="56" w:type="dxa"/>
              <w:bottom w:w="56" w:type="dxa"/>
              <w:right w:w="56" w:type="dxa"/>
            </w:tcMar>
            <w:hideMark/>
          </w:tcPr>
          <w:p w14:paraId="108BA1F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24 h urinary sodium measured in g per day</w:t>
            </w:r>
          </w:p>
        </w:tc>
        <w:tc>
          <w:tcPr>
            <w:tcW w:w="3645" w:type="dxa"/>
            <w:tcMar>
              <w:top w:w="56" w:type="dxa"/>
              <w:left w:w="56" w:type="dxa"/>
              <w:bottom w:w="56" w:type="dxa"/>
              <w:right w:w="56" w:type="dxa"/>
            </w:tcMar>
            <w:hideMark/>
          </w:tcPr>
          <w:p w14:paraId="57D2273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24 h urinary sodium between 1 g and 5 g per day</w:t>
            </w:r>
          </w:p>
        </w:tc>
      </w:tr>
      <w:tr w:rsidR="00077D0B" w:rsidRPr="00077D0B" w14:paraId="1B372144" w14:textId="77777777" w:rsidTr="00077D0B">
        <w:trPr>
          <w:tblCellSpacing w:w="15" w:type="dxa"/>
        </w:trPr>
        <w:tc>
          <w:tcPr>
            <w:tcW w:w="0" w:type="auto"/>
            <w:tcMar>
              <w:top w:w="56" w:type="dxa"/>
              <w:left w:w="56" w:type="dxa"/>
              <w:bottom w:w="56" w:type="dxa"/>
              <w:right w:w="56" w:type="dxa"/>
            </w:tcMar>
            <w:hideMark/>
          </w:tcPr>
          <w:p w14:paraId="64D7C7A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4513665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Sexual abuse and violence</w:t>
            </w:r>
          </w:p>
        </w:tc>
        <w:tc>
          <w:tcPr>
            <w:tcW w:w="3773" w:type="dxa"/>
            <w:tcMar>
              <w:top w:w="56" w:type="dxa"/>
              <w:left w:w="56" w:type="dxa"/>
              <w:bottom w:w="56" w:type="dxa"/>
              <w:right w:w="56" w:type="dxa"/>
            </w:tcMar>
            <w:hideMark/>
          </w:tcPr>
          <w:p w14:paraId="1449666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5EE9641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1E0386F6" w14:textId="77777777" w:rsidTr="00077D0B">
        <w:trPr>
          <w:tblCellSpacing w:w="15" w:type="dxa"/>
        </w:trPr>
        <w:tc>
          <w:tcPr>
            <w:tcW w:w="0" w:type="auto"/>
            <w:tcMar>
              <w:top w:w="56" w:type="dxa"/>
              <w:left w:w="56" w:type="dxa"/>
              <w:bottom w:w="56" w:type="dxa"/>
              <w:right w:w="56" w:type="dxa"/>
            </w:tcMar>
            <w:hideMark/>
          </w:tcPr>
          <w:p w14:paraId="2D03FDA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D26C23E"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Childhood sexual abuse</w:t>
            </w:r>
          </w:p>
        </w:tc>
        <w:tc>
          <w:tcPr>
            <w:tcW w:w="3773" w:type="dxa"/>
            <w:tcMar>
              <w:top w:w="56" w:type="dxa"/>
              <w:left w:w="56" w:type="dxa"/>
              <w:bottom w:w="56" w:type="dxa"/>
              <w:right w:w="56" w:type="dxa"/>
            </w:tcMar>
            <w:hideMark/>
          </w:tcPr>
          <w:p w14:paraId="22F67E7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ever having had the experience of intercourse or other contact abuse (</w:t>
            </w:r>
            <w:proofErr w:type="spellStart"/>
            <w:r w:rsidRPr="00077D0B">
              <w:rPr>
                <w:rFonts w:ascii="Times New Roman" w:eastAsia="Times New Roman" w:hAnsi="Times New Roman" w:cs="Times New Roman"/>
                <w:kern w:val="0"/>
                <w14:ligatures w14:val="none"/>
              </w:rPr>
              <w:t>ie</w:t>
            </w:r>
            <w:proofErr w:type="spellEnd"/>
            <w:r w:rsidRPr="00077D0B">
              <w:rPr>
                <w:rFonts w:ascii="Times New Roman" w:eastAsia="Times New Roman" w:hAnsi="Times New Roman" w:cs="Times New Roman"/>
                <w:kern w:val="0"/>
                <w14:ligatures w14:val="none"/>
              </w:rPr>
              <w:t>, fondling and other sexual touching) when aged 15 years or younger, and the perpetrator or partner was more than 5 years older than the victim</w:t>
            </w:r>
          </w:p>
        </w:tc>
        <w:tc>
          <w:tcPr>
            <w:tcW w:w="3645" w:type="dxa"/>
            <w:tcMar>
              <w:top w:w="56" w:type="dxa"/>
              <w:left w:w="56" w:type="dxa"/>
              <w:bottom w:w="56" w:type="dxa"/>
              <w:right w:w="56" w:type="dxa"/>
            </w:tcMar>
            <w:hideMark/>
          </w:tcPr>
          <w:p w14:paraId="655D9E8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childhood sexual abuse</w:t>
            </w:r>
          </w:p>
        </w:tc>
      </w:tr>
      <w:tr w:rsidR="00077D0B" w:rsidRPr="00077D0B" w14:paraId="529C396C" w14:textId="77777777" w:rsidTr="00077D0B">
        <w:trPr>
          <w:tblCellSpacing w:w="15" w:type="dxa"/>
        </w:trPr>
        <w:tc>
          <w:tcPr>
            <w:tcW w:w="0" w:type="auto"/>
            <w:tcMar>
              <w:top w:w="56" w:type="dxa"/>
              <w:left w:w="56" w:type="dxa"/>
              <w:bottom w:w="56" w:type="dxa"/>
              <w:right w:w="56" w:type="dxa"/>
            </w:tcMar>
            <w:hideMark/>
          </w:tcPr>
          <w:p w14:paraId="085D4D8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E741CC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Intimate partner violence</w:t>
            </w:r>
          </w:p>
        </w:tc>
        <w:tc>
          <w:tcPr>
            <w:tcW w:w="3773" w:type="dxa"/>
            <w:tcMar>
              <w:top w:w="56" w:type="dxa"/>
              <w:left w:w="56" w:type="dxa"/>
              <w:bottom w:w="56" w:type="dxa"/>
              <w:right w:w="56" w:type="dxa"/>
            </w:tcMar>
            <w:hideMark/>
          </w:tcPr>
          <w:p w14:paraId="47816F0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who have ever experienced one or more acts of physical or sexual violence by a present or former intimate partner since age 15 years</w:t>
            </w:r>
          </w:p>
        </w:tc>
        <w:tc>
          <w:tcPr>
            <w:tcW w:w="3645" w:type="dxa"/>
            <w:tcMar>
              <w:top w:w="56" w:type="dxa"/>
              <w:left w:w="56" w:type="dxa"/>
              <w:bottom w:w="56" w:type="dxa"/>
              <w:right w:w="56" w:type="dxa"/>
            </w:tcMar>
            <w:hideMark/>
          </w:tcPr>
          <w:p w14:paraId="4B8D9DA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intimate partner violence</w:t>
            </w:r>
          </w:p>
        </w:tc>
      </w:tr>
      <w:tr w:rsidR="00077D0B" w:rsidRPr="00077D0B" w14:paraId="0888181C" w14:textId="77777777" w:rsidTr="00077D0B">
        <w:trPr>
          <w:tblCellSpacing w:w="15" w:type="dxa"/>
        </w:trPr>
        <w:tc>
          <w:tcPr>
            <w:tcW w:w="0" w:type="auto"/>
            <w:tcMar>
              <w:top w:w="56" w:type="dxa"/>
              <w:left w:w="56" w:type="dxa"/>
              <w:bottom w:w="56" w:type="dxa"/>
              <w:right w:w="56" w:type="dxa"/>
            </w:tcMar>
            <w:hideMark/>
          </w:tcPr>
          <w:p w14:paraId="4E53C90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lastRenderedPageBreak/>
              <w:t>2</w:t>
            </w:r>
          </w:p>
        </w:tc>
        <w:tc>
          <w:tcPr>
            <w:tcW w:w="0" w:type="auto"/>
            <w:tcMar>
              <w:top w:w="56" w:type="dxa"/>
              <w:left w:w="56" w:type="dxa"/>
              <w:bottom w:w="56" w:type="dxa"/>
              <w:right w:w="56" w:type="dxa"/>
            </w:tcMar>
            <w:hideMark/>
          </w:tcPr>
          <w:p w14:paraId="7F535DB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Unsafe sex</w:t>
            </w:r>
          </w:p>
        </w:tc>
        <w:tc>
          <w:tcPr>
            <w:tcW w:w="3773" w:type="dxa"/>
            <w:tcMar>
              <w:top w:w="56" w:type="dxa"/>
              <w:left w:w="56" w:type="dxa"/>
              <w:bottom w:w="56" w:type="dxa"/>
              <w:right w:w="56" w:type="dxa"/>
            </w:tcMar>
            <w:hideMark/>
          </w:tcPr>
          <w:p w14:paraId="3C3E34D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with exposure to sexual encounters that convey the risk of disease</w:t>
            </w:r>
          </w:p>
        </w:tc>
        <w:tc>
          <w:tcPr>
            <w:tcW w:w="3645" w:type="dxa"/>
            <w:tcMar>
              <w:top w:w="56" w:type="dxa"/>
              <w:left w:w="56" w:type="dxa"/>
              <w:bottom w:w="56" w:type="dxa"/>
              <w:right w:w="56" w:type="dxa"/>
            </w:tcMar>
            <w:hideMark/>
          </w:tcPr>
          <w:p w14:paraId="397D87A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No exposure to a disease agent through sex</w:t>
            </w:r>
          </w:p>
        </w:tc>
      </w:tr>
      <w:tr w:rsidR="00077D0B" w:rsidRPr="00077D0B" w14:paraId="1C5C3391" w14:textId="77777777" w:rsidTr="00077D0B">
        <w:trPr>
          <w:tblCellSpacing w:w="15" w:type="dxa"/>
        </w:trPr>
        <w:tc>
          <w:tcPr>
            <w:tcW w:w="0" w:type="auto"/>
            <w:tcMar>
              <w:top w:w="56" w:type="dxa"/>
              <w:left w:w="56" w:type="dxa"/>
              <w:bottom w:w="56" w:type="dxa"/>
              <w:right w:w="56" w:type="dxa"/>
            </w:tcMar>
            <w:hideMark/>
          </w:tcPr>
          <w:p w14:paraId="6811A7D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w:t>
            </w:r>
          </w:p>
        </w:tc>
        <w:tc>
          <w:tcPr>
            <w:tcW w:w="0" w:type="auto"/>
            <w:tcMar>
              <w:top w:w="56" w:type="dxa"/>
              <w:left w:w="56" w:type="dxa"/>
              <w:bottom w:w="56" w:type="dxa"/>
              <w:right w:w="56" w:type="dxa"/>
            </w:tcMar>
            <w:hideMark/>
          </w:tcPr>
          <w:p w14:paraId="0860A96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Low physical activity</w:t>
            </w:r>
          </w:p>
        </w:tc>
        <w:tc>
          <w:tcPr>
            <w:tcW w:w="3773" w:type="dxa"/>
            <w:tcMar>
              <w:top w:w="56" w:type="dxa"/>
              <w:left w:w="56" w:type="dxa"/>
              <w:bottom w:w="56" w:type="dxa"/>
              <w:right w:w="56" w:type="dxa"/>
            </w:tcMar>
            <w:hideMark/>
          </w:tcPr>
          <w:p w14:paraId="7F4F235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Average weekly physical activity at work, home, transport-related, and recreational measured by MET min per week</w:t>
            </w:r>
          </w:p>
        </w:tc>
        <w:tc>
          <w:tcPr>
            <w:tcW w:w="3645" w:type="dxa"/>
            <w:tcMar>
              <w:top w:w="56" w:type="dxa"/>
              <w:left w:w="56" w:type="dxa"/>
              <w:bottom w:w="56" w:type="dxa"/>
              <w:right w:w="56" w:type="dxa"/>
            </w:tcMar>
            <w:hideMark/>
          </w:tcPr>
          <w:p w14:paraId="1A0B9B6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All adults experience 3000–4500 MET min per week</w:t>
            </w:r>
          </w:p>
        </w:tc>
      </w:tr>
      <w:tr w:rsidR="00077D0B" w:rsidRPr="00077D0B" w14:paraId="6D7C0001" w14:textId="77777777" w:rsidTr="00077D0B">
        <w:trPr>
          <w:tblCellSpacing w:w="15" w:type="dxa"/>
        </w:trPr>
        <w:tc>
          <w:tcPr>
            <w:tcW w:w="0" w:type="auto"/>
            <w:tcMar>
              <w:top w:w="56" w:type="dxa"/>
              <w:left w:w="56" w:type="dxa"/>
              <w:bottom w:w="56" w:type="dxa"/>
              <w:right w:w="56" w:type="dxa"/>
            </w:tcMar>
            <w:hideMark/>
          </w:tcPr>
          <w:p w14:paraId="18330E55"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1</w:t>
            </w:r>
          </w:p>
        </w:tc>
        <w:tc>
          <w:tcPr>
            <w:tcW w:w="0" w:type="auto"/>
            <w:tcMar>
              <w:top w:w="56" w:type="dxa"/>
              <w:left w:w="56" w:type="dxa"/>
              <w:bottom w:w="56" w:type="dxa"/>
              <w:right w:w="56" w:type="dxa"/>
            </w:tcMar>
            <w:hideMark/>
          </w:tcPr>
          <w:p w14:paraId="79B97F6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Metabolic risks</w:t>
            </w:r>
          </w:p>
        </w:tc>
        <w:tc>
          <w:tcPr>
            <w:tcW w:w="3773" w:type="dxa"/>
            <w:tcMar>
              <w:top w:w="56" w:type="dxa"/>
              <w:left w:w="56" w:type="dxa"/>
              <w:bottom w:w="56" w:type="dxa"/>
              <w:right w:w="56" w:type="dxa"/>
            </w:tcMar>
            <w:hideMark/>
          </w:tcPr>
          <w:p w14:paraId="5C58CEC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5600C19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b/>
                <w:bCs/>
                <w:kern w:val="0"/>
                <w14:ligatures w14:val="none"/>
              </w:rPr>
              <w:t>··</w:t>
            </w:r>
          </w:p>
        </w:tc>
      </w:tr>
      <w:tr w:rsidR="00077D0B" w:rsidRPr="00077D0B" w14:paraId="058B6A4D" w14:textId="77777777" w:rsidTr="00077D0B">
        <w:trPr>
          <w:tblCellSpacing w:w="15" w:type="dxa"/>
        </w:trPr>
        <w:tc>
          <w:tcPr>
            <w:tcW w:w="0" w:type="auto"/>
            <w:tcMar>
              <w:top w:w="56" w:type="dxa"/>
              <w:left w:w="56" w:type="dxa"/>
              <w:bottom w:w="56" w:type="dxa"/>
              <w:right w:w="56" w:type="dxa"/>
            </w:tcMar>
            <w:hideMark/>
          </w:tcPr>
          <w:p w14:paraId="491922F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w:t>
            </w:r>
          </w:p>
        </w:tc>
        <w:tc>
          <w:tcPr>
            <w:tcW w:w="0" w:type="auto"/>
            <w:tcMar>
              <w:top w:w="56" w:type="dxa"/>
              <w:left w:w="56" w:type="dxa"/>
              <w:bottom w:w="56" w:type="dxa"/>
              <w:right w:w="56" w:type="dxa"/>
            </w:tcMar>
            <w:hideMark/>
          </w:tcPr>
          <w:p w14:paraId="645F60A1"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High fasting plasma glucose</w:t>
            </w:r>
          </w:p>
        </w:tc>
        <w:tc>
          <w:tcPr>
            <w:tcW w:w="3773" w:type="dxa"/>
            <w:tcMar>
              <w:top w:w="56" w:type="dxa"/>
              <w:left w:w="56" w:type="dxa"/>
              <w:bottom w:w="56" w:type="dxa"/>
              <w:right w:w="56" w:type="dxa"/>
            </w:tcMar>
            <w:hideMark/>
          </w:tcPr>
          <w:p w14:paraId="3A0AE6D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Serum fasting plasma glucose measured in mmol/L</w:t>
            </w:r>
          </w:p>
        </w:tc>
        <w:tc>
          <w:tcPr>
            <w:tcW w:w="3645" w:type="dxa"/>
            <w:tcMar>
              <w:top w:w="56" w:type="dxa"/>
              <w:left w:w="56" w:type="dxa"/>
              <w:bottom w:w="56" w:type="dxa"/>
              <w:right w:w="56" w:type="dxa"/>
            </w:tcMar>
            <w:hideMark/>
          </w:tcPr>
          <w:p w14:paraId="4F46A49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4·8–5·4 mmol/L</w:t>
            </w:r>
          </w:p>
        </w:tc>
      </w:tr>
      <w:tr w:rsidR="00077D0B" w:rsidRPr="00077D0B" w14:paraId="4E23059B" w14:textId="77777777" w:rsidTr="00077D0B">
        <w:trPr>
          <w:tblCellSpacing w:w="15" w:type="dxa"/>
        </w:trPr>
        <w:tc>
          <w:tcPr>
            <w:tcW w:w="0" w:type="auto"/>
            <w:tcMar>
              <w:top w:w="56" w:type="dxa"/>
              <w:left w:w="56" w:type="dxa"/>
              <w:bottom w:w="56" w:type="dxa"/>
              <w:right w:w="56" w:type="dxa"/>
            </w:tcMar>
            <w:hideMark/>
          </w:tcPr>
          <w:p w14:paraId="5079B3F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w:t>
            </w:r>
          </w:p>
        </w:tc>
        <w:tc>
          <w:tcPr>
            <w:tcW w:w="0" w:type="auto"/>
            <w:tcMar>
              <w:top w:w="56" w:type="dxa"/>
              <w:left w:w="56" w:type="dxa"/>
              <w:bottom w:w="56" w:type="dxa"/>
              <w:right w:w="56" w:type="dxa"/>
            </w:tcMar>
            <w:hideMark/>
          </w:tcPr>
          <w:p w14:paraId="67FAA43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High total cholesterol</w:t>
            </w:r>
          </w:p>
        </w:tc>
        <w:tc>
          <w:tcPr>
            <w:tcW w:w="3773" w:type="dxa"/>
            <w:tcMar>
              <w:top w:w="56" w:type="dxa"/>
              <w:left w:w="56" w:type="dxa"/>
              <w:bottom w:w="56" w:type="dxa"/>
              <w:right w:w="56" w:type="dxa"/>
            </w:tcMar>
            <w:hideMark/>
          </w:tcPr>
          <w:p w14:paraId="157B7BE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Serum total cholesterol, measured in mmol/L</w:t>
            </w:r>
          </w:p>
        </w:tc>
        <w:tc>
          <w:tcPr>
            <w:tcW w:w="3645" w:type="dxa"/>
            <w:tcMar>
              <w:top w:w="56" w:type="dxa"/>
              <w:left w:w="56" w:type="dxa"/>
              <w:bottom w:w="56" w:type="dxa"/>
              <w:right w:w="56" w:type="dxa"/>
            </w:tcMar>
            <w:hideMark/>
          </w:tcPr>
          <w:p w14:paraId="3D4CE1D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2·78–3·38 mmol/L</w:t>
            </w:r>
          </w:p>
        </w:tc>
      </w:tr>
      <w:tr w:rsidR="00077D0B" w:rsidRPr="00077D0B" w14:paraId="77393151" w14:textId="77777777" w:rsidTr="00077D0B">
        <w:trPr>
          <w:tblCellSpacing w:w="15" w:type="dxa"/>
        </w:trPr>
        <w:tc>
          <w:tcPr>
            <w:tcW w:w="0" w:type="auto"/>
            <w:tcMar>
              <w:top w:w="56" w:type="dxa"/>
              <w:left w:w="56" w:type="dxa"/>
              <w:bottom w:w="56" w:type="dxa"/>
              <w:right w:w="56" w:type="dxa"/>
            </w:tcMar>
            <w:hideMark/>
          </w:tcPr>
          <w:p w14:paraId="309ADCC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w:t>
            </w:r>
          </w:p>
        </w:tc>
        <w:tc>
          <w:tcPr>
            <w:tcW w:w="0" w:type="auto"/>
            <w:tcMar>
              <w:top w:w="56" w:type="dxa"/>
              <w:left w:w="56" w:type="dxa"/>
              <w:bottom w:w="56" w:type="dxa"/>
              <w:right w:w="56" w:type="dxa"/>
            </w:tcMar>
            <w:hideMark/>
          </w:tcPr>
          <w:p w14:paraId="4013C2F6"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High systolic blood pressure</w:t>
            </w:r>
          </w:p>
        </w:tc>
        <w:tc>
          <w:tcPr>
            <w:tcW w:w="3773" w:type="dxa"/>
            <w:tcMar>
              <w:top w:w="56" w:type="dxa"/>
              <w:left w:w="56" w:type="dxa"/>
              <w:bottom w:w="56" w:type="dxa"/>
              <w:right w:w="56" w:type="dxa"/>
            </w:tcMar>
            <w:hideMark/>
          </w:tcPr>
          <w:p w14:paraId="512B31F4"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Systolic blood pressure, measured in mmHg</w:t>
            </w:r>
          </w:p>
        </w:tc>
        <w:tc>
          <w:tcPr>
            <w:tcW w:w="3645" w:type="dxa"/>
            <w:tcMar>
              <w:top w:w="56" w:type="dxa"/>
              <w:left w:w="56" w:type="dxa"/>
              <w:bottom w:w="56" w:type="dxa"/>
              <w:right w:w="56" w:type="dxa"/>
            </w:tcMar>
            <w:hideMark/>
          </w:tcPr>
          <w:p w14:paraId="01284EA3"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110–115 mm Hg</w:t>
            </w:r>
          </w:p>
        </w:tc>
      </w:tr>
      <w:tr w:rsidR="00077D0B" w:rsidRPr="00077D0B" w14:paraId="1B700DEB" w14:textId="77777777" w:rsidTr="00077D0B">
        <w:trPr>
          <w:tblCellSpacing w:w="15" w:type="dxa"/>
        </w:trPr>
        <w:tc>
          <w:tcPr>
            <w:tcW w:w="0" w:type="auto"/>
            <w:tcMar>
              <w:top w:w="56" w:type="dxa"/>
              <w:left w:w="56" w:type="dxa"/>
              <w:bottom w:w="56" w:type="dxa"/>
              <w:right w:w="56" w:type="dxa"/>
            </w:tcMar>
            <w:hideMark/>
          </w:tcPr>
          <w:p w14:paraId="6825DDD2"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w:t>
            </w:r>
          </w:p>
        </w:tc>
        <w:tc>
          <w:tcPr>
            <w:tcW w:w="0" w:type="auto"/>
            <w:tcMar>
              <w:top w:w="56" w:type="dxa"/>
              <w:left w:w="56" w:type="dxa"/>
              <w:bottom w:w="56" w:type="dxa"/>
              <w:right w:w="56" w:type="dxa"/>
            </w:tcMar>
            <w:hideMark/>
          </w:tcPr>
          <w:p w14:paraId="0FBBA2A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High body-mass index</w:t>
            </w:r>
          </w:p>
        </w:tc>
        <w:tc>
          <w:tcPr>
            <w:tcW w:w="3773" w:type="dxa"/>
            <w:tcMar>
              <w:top w:w="56" w:type="dxa"/>
              <w:left w:w="56" w:type="dxa"/>
              <w:bottom w:w="56" w:type="dxa"/>
              <w:right w:w="56" w:type="dxa"/>
            </w:tcMar>
            <w:hideMark/>
          </w:tcPr>
          <w:p w14:paraId="2C5A85BB"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Body-mass index, measured in kg/m</w:t>
            </w:r>
            <w:r w:rsidRPr="00077D0B">
              <w:rPr>
                <w:rFonts w:ascii="revert" w:eastAsia="Times New Roman" w:hAnsi="revert" w:cs="Times New Roman"/>
                <w:kern w:val="0"/>
                <w:sz w:val="20"/>
                <w:szCs w:val="20"/>
                <w:vertAlign w:val="superscript"/>
                <w14:ligatures w14:val="none"/>
              </w:rPr>
              <w:t>2</w:t>
            </w:r>
          </w:p>
        </w:tc>
        <w:tc>
          <w:tcPr>
            <w:tcW w:w="3645" w:type="dxa"/>
            <w:tcMar>
              <w:top w:w="56" w:type="dxa"/>
              <w:left w:w="56" w:type="dxa"/>
              <w:bottom w:w="56" w:type="dxa"/>
              <w:right w:w="56" w:type="dxa"/>
            </w:tcMar>
            <w:hideMark/>
          </w:tcPr>
          <w:p w14:paraId="27C913D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25 kg/m</w:t>
            </w:r>
            <w:r w:rsidRPr="00077D0B">
              <w:rPr>
                <w:rFonts w:ascii="revert" w:eastAsia="Times New Roman" w:hAnsi="revert" w:cs="Times New Roman"/>
                <w:kern w:val="0"/>
                <w:sz w:val="20"/>
                <w:szCs w:val="20"/>
                <w:vertAlign w:val="superscript"/>
                <w14:ligatures w14:val="none"/>
              </w:rPr>
              <w:t>2</w:t>
            </w:r>
          </w:p>
        </w:tc>
      </w:tr>
      <w:tr w:rsidR="00077D0B" w:rsidRPr="00077D0B" w14:paraId="4B1DBFAB" w14:textId="77777777" w:rsidTr="00077D0B">
        <w:trPr>
          <w:tblCellSpacing w:w="15" w:type="dxa"/>
        </w:trPr>
        <w:tc>
          <w:tcPr>
            <w:tcW w:w="0" w:type="auto"/>
            <w:tcMar>
              <w:top w:w="56" w:type="dxa"/>
              <w:left w:w="56" w:type="dxa"/>
              <w:bottom w:w="56" w:type="dxa"/>
              <w:right w:w="56" w:type="dxa"/>
            </w:tcMar>
            <w:hideMark/>
          </w:tcPr>
          <w:p w14:paraId="34D2A26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w:t>
            </w:r>
          </w:p>
        </w:tc>
        <w:tc>
          <w:tcPr>
            <w:tcW w:w="0" w:type="auto"/>
            <w:tcMar>
              <w:top w:w="56" w:type="dxa"/>
              <w:left w:w="56" w:type="dxa"/>
              <w:bottom w:w="56" w:type="dxa"/>
              <w:right w:w="56" w:type="dxa"/>
            </w:tcMar>
            <w:hideMark/>
          </w:tcPr>
          <w:p w14:paraId="0FADEFF7"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Low bone mineral density</w:t>
            </w:r>
          </w:p>
        </w:tc>
        <w:tc>
          <w:tcPr>
            <w:tcW w:w="3773" w:type="dxa"/>
            <w:tcMar>
              <w:top w:w="56" w:type="dxa"/>
              <w:left w:w="56" w:type="dxa"/>
              <w:bottom w:w="56" w:type="dxa"/>
              <w:right w:w="56" w:type="dxa"/>
            </w:tcMar>
            <w:hideMark/>
          </w:tcPr>
          <w:p w14:paraId="1EDB8B55" w14:textId="77777777" w:rsidR="00077D0B" w:rsidRPr="00077D0B" w:rsidRDefault="00077D0B" w:rsidP="00077D0B">
            <w:pPr>
              <w:spacing w:before="450"/>
              <w:rPr>
                <w:rFonts w:ascii="Times New Roman" w:eastAsia="Times New Roman" w:hAnsi="Times New Roman" w:cs="Times New Roman"/>
                <w:kern w:val="0"/>
                <w14:ligatures w14:val="none"/>
              </w:rPr>
            </w:pPr>
            <w:proofErr w:type="spellStart"/>
            <w:r w:rsidRPr="00077D0B">
              <w:rPr>
                <w:rFonts w:ascii="Times New Roman" w:eastAsia="Times New Roman" w:hAnsi="Times New Roman" w:cs="Times New Roman"/>
                <w:kern w:val="0"/>
                <w14:ligatures w14:val="none"/>
              </w:rPr>
              <w:t>Standardised</w:t>
            </w:r>
            <w:proofErr w:type="spellEnd"/>
            <w:r w:rsidRPr="00077D0B">
              <w:rPr>
                <w:rFonts w:ascii="Times New Roman" w:eastAsia="Times New Roman" w:hAnsi="Times New Roman" w:cs="Times New Roman"/>
                <w:kern w:val="0"/>
                <w14:ligatures w14:val="none"/>
              </w:rPr>
              <w:t xml:space="preserve"> mean bone mineral density values measured by dual x-ray absorptiometry at the femoral neck in g/cm</w:t>
            </w:r>
            <w:r w:rsidRPr="00077D0B">
              <w:rPr>
                <w:rFonts w:ascii="revert" w:eastAsia="Times New Roman" w:hAnsi="revert" w:cs="Times New Roman"/>
                <w:kern w:val="0"/>
                <w:sz w:val="20"/>
                <w:szCs w:val="20"/>
                <w:vertAlign w:val="superscript"/>
                <w14:ligatures w14:val="none"/>
              </w:rPr>
              <w:t>2</w:t>
            </w:r>
          </w:p>
        </w:tc>
        <w:tc>
          <w:tcPr>
            <w:tcW w:w="3645" w:type="dxa"/>
            <w:tcMar>
              <w:top w:w="56" w:type="dxa"/>
              <w:left w:w="56" w:type="dxa"/>
              <w:bottom w:w="56" w:type="dxa"/>
              <w:right w:w="56" w:type="dxa"/>
            </w:tcMar>
            <w:hideMark/>
          </w:tcPr>
          <w:p w14:paraId="677D02FC"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99th percentile of NHANES 2005–14 by age and sex</w:t>
            </w:r>
          </w:p>
        </w:tc>
      </w:tr>
      <w:tr w:rsidR="00077D0B" w:rsidRPr="00077D0B" w14:paraId="7A427C17" w14:textId="77777777" w:rsidTr="00077D0B">
        <w:trPr>
          <w:tblCellSpacing w:w="15" w:type="dxa"/>
        </w:trPr>
        <w:tc>
          <w:tcPr>
            <w:tcW w:w="0" w:type="auto"/>
            <w:tcMar>
              <w:top w:w="56" w:type="dxa"/>
              <w:left w:w="56" w:type="dxa"/>
              <w:bottom w:w="56" w:type="dxa"/>
              <w:right w:w="56" w:type="dxa"/>
            </w:tcMar>
            <w:hideMark/>
          </w:tcPr>
          <w:p w14:paraId="4F4ED9BD"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2</w:t>
            </w:r>
          </w:p>
        </w:tc>
        <w:tc>
          <w:tcPr>
            <w:tcW w:w="0" w:type="auto"/>
            <w:tcMar>
              <w:top w:w="56" w:type="dxa"/>
              <w:left w:w="56" w:type="dxa"/>
              <w:bottom w:w="56" w:type="dxa"/>
              <w:right w:w="56" w:type="dxa"/>
            </w:tcMar>
            <w:hideMark/>
          </w:tcPr>
          <w:p w14:paraId="1F04009A"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Impaired kidney function</w:t>
            </w:r>
          </w:p>
        </w:tc>
        <w:tc>
          <w:tcPr>
            <w:tcW w:w="3773" w:type="dxa"/>
            <w:tcMar>
              <w:top w:w="56" w:type="dxa"/>
              <w:left w:w="56" w:type="dxa"/>
              <w:bottom w:w="56" w:type="dxa"/>
              <w:right w:w="56" w:type="dxa"/>
            </w:tcMar>
            <w:hideMark/>
          </w:tcPr>
          <w:p w14:paraId="7797DEB8"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Proportion of the population with ACR &gt;30 mg/g and/or GFR &lt;60 mL/min per 1·73m</w:t>
            </w:r>
            <w:r w:rsidRPr="00077D0B">
              <w:rPr>
                <w:rFonts w:ascii="revert" w:eastAsia="Times New Roman" w:hAnsi="revert" w:cs="Times New Roman"/>
                <w:kern w:val="0"/>
                <w:sz w:val="20"/>
                <w:szCs w:val="20"/>
                <w:vertAlign w:val="superscript"/>
                <w14:ligatures w14:val="none"/>
              </w:rPr>
              <w:t>2</w:t>
            </w:r>
            <w:r w:rsidRPr="00077D0B">
              <w:rPr>
                <w:rFonts w:ascii="Times New Roman" w:eastAsia="Times New Roman" w:hAnsi="Times New Roman" w:cs="Times New Roman"/>
                <w:kern w:val="0"/>
                <w14:ligatures w14:val="none"/>
              </w:rPr>
              <w:t>, excluding end-stage renal disease</w:t>
            </w:r>
          </w:p>
        </w:tc>
        <w:tc>
          <w:tcPr>
            <w:tcW w:w="3645" w:type="dxa"/>
            <w:tcMar>
              <w:top w:w="56" w:type="dxa"/>
              <w:left w:w="56" w:type="dxa"/>
              <w:bottom w:w="56" w:type="dxa"/>
              <w:right w:w="56" w:type="dxa"/>
            </w:tcMar>
            <w:hideMark/>
          </w:tcPr>
          <w:p w14:paraId="184843B0" w14:textId="77777777" w:rsidR="00077D0B" w:rsidRPr="00077D0B" w:rsidRDefault="00077D0B" w:rsidP="00077D0B">
            <w:pPr>
              <w:spacing w:before="450"/>
              <w:rPr>
                <w:rFonts w:ascii="Times New Roman" w:eastAsia="Times New Roman" w:hAnsi="Times New Roman" w:cs="Times New Roman"/>
                <w:kern w:val="0"/>
                <w14:ligatures w14:val="none"/>
              </w:rPr>
            </w:pPr>
            <w:r w:rsidRPr="00077D0B">
              <w:rPr>
                <w:rFonts w:ascii="Times New Roman" w:eastAsia="Times New Roman" w:hAnsi="Times New Roman" w:cs="Times New Roman"/>
                <w:kern w:val="0"/>
                <w14:ligatures w14:val="none"/>
              </w:rPr>
              <w:t>ACR &lt;30 mg/g and GFR &gt;60 mL/min per 1·73m</w:t>
            </w:r>
            <w:r w:rsidRPr="00077D0B">
              <w:rPr>
                <w:rFonts w:ascii="revert" w:eastAsia="Times New Roman" w:hAnsi="revert" w:cs="Times New Roman"/>
                <w:kern w:val="0"/>
                <w:sz w:val="20"/>
                <w:szCs w:val="20"/>
                <w:vertAlign w:val="superscript"/>
                <w14:ligatures w14:val="none"/>
              </w:rPr>
              <w:t>2</w:t>
            </w:r>
          </w:p>
        </w:tc>
      </w:tr>
    </w:tbl>
    <w:p w14:paraId="05D3C113" w14:textId="77777777" w:rsidR="00077D0B" w:rsidRDefault="00077D0B"/>
    <w:sectPr w:rsidR="00077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rever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D0B"/>
    <w:rsid w:val="0007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551F"/>
  <w15:chartTrackingRefBased/>
  <w15:docId w15:val="{7E3F9F08-1334-3249-825B-84564C8E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D0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7D0B"/>
    <w:rPr>
      <w:b/>
      <w:bCs/>
    </w:rPr>
  </w:style>
  <w:style w:type="character" w:customStyle="1" w:styleId="apple-converted-space">
    <w:name w:val="apple-converted-space"/>
    <w:basedOn w:val="DefaultParagraphFont"/>
    <w:rsid w:val="00077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406602">
      <w:bodyDiv w:val="1"/>
      <w:marLeft w:val="0"/>
      <w:marRight w:val="0"/>
      <w:marTop w:val="0"/>
      <w:marBottom w:val="0"/>
      <w:divBdr>
        <w:top w:val="none" w:sz="0" w:space="0" w:color="auto"/>
        <w:left w:val="none" w:sz="0" w:space="0" w:color="auto"/>
        <w:bottom w:val="none" w:sz="0" w:space="0" w:color="auto"/>
        <w:right w:val="none" w:sz="0" w:space="0" w:color="auto"/>
      </w:divBdr>
      <w:divsChild>
        <w:div w:id="601645761">
          <w:marLeft w:val="0"/>
          <w:marRight w:val="0"/>
          <w:marTop w:val="450"/>
          <w:marBottom w:val="0"/>
          <w:divBdr>
            <w:top w:val="none" w:sz="0" w:space="0" w:color="auto"/>
            <w:left w:val="none" w:sz="0" w:space="0" w:color="auto"/>
            <w:bottom w:val="none" w:sz="0" w:space="0" w:color="auto"/>
            <w:right w:val="none" w:sz="0" w:space="0" w:color="auto"/>
          </w:divBdr>
        </w:div>
        <w:div w:id="1759861995">
          <w:marLeft w:val="0"/>
          <w:marRight w:val="0"/>
          <w:marTop w:val="450"/>
          <w:marBottom w:val="0"/>
          <w:divBdr>
            <w:top w:val="none" w:sz="0" w:space="0" w:color="auto"/>
            <w:left w:val="none" w:sz="0" w:space="0" w:color="auto"/>
            <w:bottom w:val="none" w:sz="0" w:space="0" w:color="auto"/>
            <w:right w:val="none" w:sz="0" w:space="0" w:color="auto"/>
          </w:divBdr>
        </w:div>
        <w:div w:id="1787037041">
          <w:marLeft w:val="0"/>
          <w:marRight w:val="0"/>
          <w:marTop w:val="450"/>
          <w:marBottom w:val="0"/>
          <w:divBdr>
            <w:top w:val="none" w:sz="0" w:space="0" w:color="auto"/>
            <w:left w:val="none" w:sz="0" w:space="0" w:color="auto"/>
            <w:bottom w:val="none" w:sz="0" w:space="0" w:color="auto"/>
            <w:right w:val="none" w:sz="0" w:space="0" w:color="auto"/>
          </w:divBdr>
          <w:divsChild>
            <w:div w:id="151121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2031</Words>
  <Characters>11582</Characters>
  <Application>Microsoft Office Word</Application>
  <DocSecurity>0</DocSecurity>
  <Lines>96</Lines>
  <Paragraphs>27</Paragraphs>
  <ScaleCrop>false</ScaleCrop>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Zavalis</dc:creator>
  <cp:keywords/>
  <dc:description/>
  <cp:lastModifiedBy>Emmanuel Zavalis</cp:lastModifiedBy>
  <cp:revision>1</cp:revision>
  <dcterms:created xsi:type="dcterms:W3CDTF">2025-06-28T19:45:00Z</dcterms:created>
  <dcterms:modified xsi:type="dcterms:W3CDTF">2025-06-28T19:46:00Z</dcterms:modified>
</cp:coreProperties>
</file>