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1FD70" w14:textId="77777777" w:rsidR="00D06B46" w:rsidRPr="00D06B46" w:rsidRDefault="00D06B46" w:rsidP="00D06B46">
      <w:pPr>
        <w:rPr>
          <w:rFonts w:ascii="Cambria" w:eastAsia="Times New Roman" w:hAnsi="Cambria" w:cs="Times New Roman"/>
          <w:color w:val="1B1B1B"/>
          <w:kern w:val="0"/>
          <w:sz w:val="26"/>
          <w:szCs w:val="26"/>
          <w14:ligatures w14:val="none"/>
        </w:rPr>
      </w:pPr>
      <w:r w:rsidRPr="00D06B46">
        <w:rPr>
          <w:rFonts w:ascii="Cambria" w:eastAsia="Times New Roman" w:hAnsi="Cambria" w:cs="Times New Roman"/>
          <w:color w:val="1B1B1B"/>
          <w:kern w:val="0"/>
          <w:sz w:val="26"/>
          <w:szCs w:val="26"/>
          <w14:ligatures w14:val="none"/>
        </w:rPr>
        <w:t>GBD 2017 risk factor hierarchy and accompanying exposure definitions, theoretical minimum risk exposure level, and data representativeness index for each risk factor, pre-2007, 2007–17, and total (across all years)</w:t>
      </w:r>
    </w:p>
    <w:tbl>
      <w:tblPr>
        <w:tblW w:w="9720" w:type="dxa"/>
        <w:tblCellSpacing w:w="15" w:type="dxa"/>
        <w:tblCellMar>
          <w:top w:w="15" w:type="dxa"/>
          <w:left w:w="15" w:type="dxa"/>
          <w:bottom w:w="15" w:type="dxa"/>
          <w:right w:w="15" w:type="dxa"/>
        </w:tblCellMar>
        <w:tblLook w:val="04A0" w:firstRow="1" w:lastRow="0" w:firstColumn="1" w:lastColumn="0" w:noHBand="0" w:noVBand="1"/>
      </w:tblPr>
      <w:tblGrid>
        <w:gridCol w:w="277"/>
        <w:gridCol w:w="148"/>
        <w:gridCol w:w="148"/>
        <w:gridCol w:w="1822"/>
        <w:gridCol w:w="3635"/>
        <w:gridCol w:w="3690"/>
      </w:tblGrid>
      <w:tr w:rsidR="00D06B46" w:rsidRPr="00D06B46" w14:paraId="1FA11739" w14:textId="77777777" w:rsidTr="00D06B46">
        <w:trPr>
          <w:tblHeader/>
          <w:tblCellSpacing w:w="15" w:type="dxa"/>
        </w:trPr>
        <w:tc>
          <w:tcPr>
            <w:tcW w:w="0" w:type="auto"/>
            <w:tcMar>
              <w:top w:w="56" w:type="dxa"/>
              <w:left w:w="56" w:type="dxa"/>
              <w:bottom w:w="56" w:type="dxa"/>
              <w:right w:w="56" w:type="dxa"/>
            </w:tcMar>
            <w:hideMark/>
          </w:tcPr>
          <w:p w14:paraId="02A4901A" w14:textId="77777777" w:rsidR="00D06B46" w:rsidRPr="00D06B46" w:rsidRDefault="00D06B46" w:rsidP="00D06B46">
            <w:pPr>
              <w:rPr>
                <w:rFonts w:ascii="Cambria" w:eastAsia="Times New Roman" w:hAnsi="Cambria" w:cs="Times New Roman"/>
                <w:color w:val="1B1B1B"/>
                <w:kern w:val="0"/>
                <w:sz w:val="26"/>
                <w:szCs w:val="26"/>
                <w14:ligatures w14:val="none"/>
              </w:rPr>
            </w:pPr>
          </w:p>
        </w:tc>
        <w:tc>
          <w:tcPr>
            <w:tcW w:w="0" w:type="auto"/>
            <w:tcMar>
              <w:top w:w="56" w:type="dxa"/>
              <w:left w:w="56" w:type="dxa"/>
              <w:bottom w:w="56" w:type="dxa"/>
              <w:right w:w="56" w:type="dxa"/>
            </w:tcMar>
            <w:hideMark/>
          </w:tcPr>
          <w:p w14:paraId="7E38E3D3" w14:textId="77777777" w:rsidR="00D06B46" w:rsidRPr="00D06B46" w:rsidRDefault="00D06B46" w:rsidP="00D06B46">
            <w:pPr>
              <w:jc w:val="center"/>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67890033" w14:textId="77777777" w:rsidR="00D06B46" w:rsidRPr="00D06B46" w:rsidRDefault="00D06B46" w:rsidP="00D06B46">
            <w:pPr>
              <w:jc w:val="center"/>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0DD9A0B0" w14:textId="77777777" w:rsidR="00D06B46" w:rsidRPr="00D06B46" w:rsidRDefault="00D06B46" w:rsidP="00D06B46">
            <w:pPr>
              <w:rPr>
                <w:rFonts w:ascii="Times New Roman" w:eastAsia="Times New Roman" w:hAnsi="Times New Roman" w:cs="Times New Roman"/>
                <w:b/>
                <w:bCs/>
                <w:kern w:val="0"/>
                <w14:ligatures w14:val="none"/>
              </w:rPr>
            </w:pPr>
            <w:r w:rsidRPr="00D06B46">
              <w:rPr>
                <w:rFonts w:ascii="Times New Roman" w:eastAsia="Times New Roman" w:hAnsi="Times New Roman" w:cs="Times New Roman"/>
                <w:b/>
                <w:bCs/>
                <w:kern w:val="0"/>
                <w14:ligatures w14:val="none"/>
              </w:rPr>
              <w:t>Risk factors</w:t>
            </w:r>
          </w:p>
        </w:tc>
        <w:tc>
          <w:tcPr>
            <w:tcW w:w="3605" w:type="dxa"/>
            <w:tcMar>
              <w:top w:w="56" w:type="dxa"/>
              <w:left w:w="56" w:type="dxa"/>
              <w:bottom w:w="56" w:type="dxa"/>
              <w:right w:w="56" w:type="dxa"/>
            </w:tcMar>
            <w:hideMark/>
          </w:tcPr>
          <w:p w14:paraId="70F63296" w14:textId="0652BF1B" w:rsidR="00D06B46" w:rsidRPr="00D06B46" w:rsidRDefault="00D06B46" w:rsidP="00D06B46">
            <w:pPr>
              <w:rPr>
                <w:rFonts w:ascii="Times New Roman" w:eastAsia="Times New Roman" w:hAnsi="Times New Roman" w:cs="Times New Roman"/>
                <w:b/>
                <w:bCs/>
                <w:kern w:val="0"/>
                <w14:ligatures w14:val="none"/>
              </w:rPr>
            </w:pPr>
            <w:r w:rsidRPr="00D06B46">
              <w:rPr>
                <w:rFonts w:ascii="Times New Roman" w:eastAsia="Times New Roman" w:hAnsi="Times New Roman" w:cs="Times New Roman"/>
                <w:b/>
                <w:bCs/>
                <w:kern w:val="0"/>
                <w14:ligatures w14:val="none"/>
              </w:rPr>
              <w:t xml:space="preserve">Exposure </w:t>
            </w:r>
          </w:p>
        </w:tc>
        <w:tc>
          <w:tcPr>
            <w:tcW w:w="3645" w:type="dxa"/>
            <w:tcMar>
              <w:top w:w="56" w:type="dxa"/>
              <w:left w:w="56" w:type="dxa"/>
              <w:bottom w:w="56" w:type="dxa"/>
              <w:right w:w="56" w:type="dxa"/>
            </w:tcMar>
            <w:hideMark/>
          </w:tcPr>
          <w:p w14:paraId="2FFF9C9B" w14:textId="78CA5CB0" w:rsidR="00D06B46" w:rsidRPr="00D06B46" w:rsidRDefault="00D06B46" w:rsidP="00D06B46">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TMREL</w:t>
            </w:r>
          </w:p>
        </w:tc>
      </w:tr>
      <w:tr w:rsidR="00D06B46" w:rsidRPr="00D06B46" w14:paraId="65BBC771" w14:textId="77777777" w:rsidTr="00D06B46">
        <w:trPr>
          <w:tblHeader/>
          <w:tblCellSpacing w:w="15" w:type="dxa"/>
        </w:trPr>
        <w:tc>
          <w:tcPr>
            <w:tcW w:w="0" w:type="auto"/>
            <w:tcMar>
              <w:top w:w="56" w:type="dxa"/>
              <w:left w:w="56" w:type="dxa"/>
              <w:bottom w:w="56" w:type="dxa"/>
              <w:right w:w="56" w:type="dxa"/>
            </w:tcMar>
            <w:hideMark/>
          </w:tcPr>
          <w:p w14:paraId="0204961D" w14:textId="77777777" w:rsidR="00D06B46" w:rsidRPr="00D06B46" w:rsidRDefault="00D06B46" w:rsidP="00D06B46">
            <w:pPr>
              <w:spacing w:before="450"/>
              <w:rPr>
                <w:rFonts w:ascii="Times New Roman" w:eastAsia="Times New Roman" w:hAnsi="Times New Roman" w:cs="Times New Roman"/>
                <w:b/>
                <w:bCs/>
                <w:kern w:val="0"/>
                <w14:ligatures w14:val="none"/>
              </w:rPr>
            </w:pPr>
          </w:p>
        </w:tc>
        <w:tc>
          <w:tcPr>
            <w:tcW w:w="0" w:type="auto"/>
            <w:tcMar>
              <w:top w:w="56" w:type="dxa"/>
              <w:left w:w="56" w:type="dxa"/>
              <w:bottom w:w="56" w:type="dxa"/>
              <w:right w:w="56" w:type="dxa"/>
            </w:tcMar>
            <w:hideMark/>
          </w:tcPr>
          <w:p w14:paraId="04FF970D" w14:textId="77777777" w:rsidR="00D06B46" w:rsidRPr="00D06B46" w:rsidRDefault="00D06B46" w:rsidP="00D06B46">
            <w:pPr>
              <w:spacing w:before="450"/>
              <w:jc w:val="center"/>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5C529043" w14:textId="77777777" w:rsidR="00D06B46" w:rsidRPr="00D06B46" w:rsidRDefault="00D06B46" w:rsidP="00D06B46">
            <w:pPr>
              <w:spacing w:before="450"/>
              <w:jc w:val="center"/>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66753032" w14:textId="77777777" w:rsidR="00D06B46" w:rsidRPr="00D06B46" w:rsidRDefault="00D06B46" w:rsidP="00D06B46">
            <w:pPr>
              <w:spacing w:before="450"/>
              <w:jc w:val="center"/>
              <w:rPr>
                <w:rFonts w:ascii="Times New Roman" w:eastAsia="Times New Roman" w:hAnsi="Times New Roman" w:cs="Times New Roman"/>
                <w:kern w:val="0"/>
                <w:sz w:val="20"/>
                <w:szCs w:val="20"/>
                <w14:ligatures w14:val="none"/>
              </w:rPr>
            </w:pPr>
          </w:p>
        </w:tc>
        <w:tc>
          <w:tcPr>
            <w:tcW w:w="3605" w:type="dxa"/>
            <w:tcMar>
              <w:top w:w="56" w:type="dxa"/>
              <w:left w:w="56" w:type="dxa"/>
              <w:bottom w:w="56" w:type="dxa"/>
              <w:right w:w="56" w:type="dxa"/>
            </w:tcMar>
            <w:hideMark/>
          </w:tcPr>
          <w:p w14:paraId="38C6E53A" w14:textId="77777777" w:rsidR="00D06B46" w:rsidRPr="00D06B46" w:rsidRDefault="00D06B46" w:rsidP="00D06B46">
            <w:pPr>
              <w:spacing w:before="450"/>
              <w:jc w:val="center"/>
              <w:rPr>
                <w:rFonts w:ascii="Times New Roman" w:eastAsia="Times New Roman" w:hAnsi="Times New Roman" w:cs="Times New Roman"/>
                <w:kern w:val="0"/>
                <w:sz w:val="20"/>
                <w:szCs w:val="20"/>
                <w14:ligatures w14:val="none"/>
              </w:rPr>
            </w:pPr>
          </w:p>
        </w:tc>
        <w:tc>
          <w:tcPr>
            <w:tcW w:w="3645" w:type="dxa"/>
            <w:tcMar>
              <w:top w:w="56" w:type="dxa"/>
              <w:left w:w="56" w:type="dxa"/>
              <w:bottom w:w="56" w:type="dxa"/>
              <w:right w:w="56" w:type="dxa"/>
            </w:tcMar>
            <w:hideMark/>
          </w:tcPr>
          <w:p w14:paraId="4154AD99" w14:textId="77777777" w:rsidR="00D06B46" w:rsidRPr="00D06B46" w:rsidRDefault="00D06B46" w:rsidP="00D06B46">
            <w:pPr>
              <w:spacing w:before="450"/>
              <w:jc w:val="center"/>
              <w:rPr>
                <w:rFonts w:ascii="Times New Roman" w:eastAsia="Times New Roman" w:hAnsi="Times New Roman" w:cs="Times New Roman"/>
                <w:kern w:val="0"/>
                <w:sz w:val="20"/>
                <w:szCs w:val="20"/>
                <w14:ligatures w14:val="none"/>
              </w:rPr>
            </w:pPr>
          </w:p>
        </w:tc>
      </w:tr>
      <w:tr w:rsidR="00D06B46" w:rsidRPr="00D06B46" w14:paraId="68470C13" w14:textId="77777777" w:rsidTr="00D06B46">
        <w:trPr>
          <w:tblCellSpacing w:w="15" w:type="dxa"/>
        </w:trPr>
        <w:tc>
          <w:tcPr>
            <w:tcW w:w="0" w:type="auto"/>
            <w:tcMar>
              <w:top w:w="56" w:type="dxa"/>
              <w:left w:w="56" w:type="dxa"/>
              <w:bottom w:w="56" w:type="dxa"/>
              <w:right w:w="56" w:type="dxa"/>
            </w:tcMar>
            <w:hideMark/>
          </w:tcPr>
          <w:p w14:paraId="6FDF1C9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0</w:t>
            </w:r>
          </w:p>
        </w:tc>
        <w:tc>
          <w:tcPr>
            <w:tcW w:w="0" w:type="auto"/>
            <w:gridSpan w:val="3"/>
            <w:tcMar>
              <w:top w:w="56" w:type="dxa"/>
              <w:left w:w="56" w:type="dxa"/>
              <w:bottom w:w="56" w:type="dxa"/>
              <w:right w:w="56" w:type="dxa"/>
            </w:tcMar>
            <w:hideMark/>
          </w:tcPr>
          <w:p w14:paraId="5D58547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All</w:t>
            </w:r>
          </w:p>
        </w:tc>
        <w:tc>
          <w:tcPr>
            <w:tcW w:w="3605" w:type="dxa"/>
            <w:tcMar>
              <w:top w:w="56" w:type="dxa"/>
              <w:left w:w="56" w:type="dxa"/>
              <w:bottom w:w="56" w:type="dxa"/>
              <w:right w:w="56" w:type="dxa"/>
            </w:tcMar>
            <w:hideMark/>
          </w:tcPr>
          <w:p w14:paraId="20AE7A5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6098D65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7775A8EC" w14:textId="77777777" w:rsidTr="00D06B46">
        <w:trPr>
          <w:tblCellSpacing w:w="15" w:type="dxa"/>
        </w:trPr>
        <w:tc>
          <w:tcPr>
            <w:tcW w:w="0" w:type="auto"/>
            <w:tcMar>
              <w:top w:w="56" w:type="dxa"/>
              <w:left w:w="56" w:type="dxa"/>
              <w:bottom w:w="56" w:type="dxa"/>
              <w:right w:w="56" w:type="dxa"/>
            </w:tcMar>
            <w:hideMark/>
          </w:tcPr>
          <w:p w14:paraId="08A7278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1</w:t>
            </w:r>
          </w:p>
        </w:tc>
        <w:tc>
          <w:tcPr>
            <w:tcW w:w="0" w:type="auto"/>
            <w:gridSpan w:val="3"/>
            <w:tcMar>
              <w:top w:w="56" w:type="dxa"/>
              <w:left w:w="56" w:type="dxa"/>
              <w:bottom w:w="56" w:type="dxa"/>
              <w:right w:w="56" w:type="dxa"/>
            </w:tcMar>
            <w:hideMark/>
          </w:tcPr>
          <w:p w14:paraId="0FA4D5E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Environmental and occupational risks</w:t>
            </w:r>
          </w:p>
        </w:tc>
        <w:tc>
          <w:tcPr>
            <w:tcW w:w="3605" w:type="dxa"/>
            <w:tcMar>
              <w:top w:w="56" w:type="dxa"/>
              <w:left w:w="56" w:type="dxa"/>
              <w:bottom w:w="56" w:type="dxa"/>
              <w:right w:w="56" w:type="dxa"/>
            </w:tcMar>
            <w:hideMark/>
          </w:tcPr>
          <w:p w14:paraId="41AE4FD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573AA86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01EE74AE" w14:textId="77777777" w:rsidTr="00D06B46">
        <w:trPr>
          <w:tblCellSpacing w:w="15" w:type="dxa"/>
        </w:trPr>
        <w:tc>
          <w:tcPr>
            <w:tcW w:w="0" w:type="auto"/>
            <w:tcMar>
              <w:top w:w="56" w:type="dxa"/>
              <w:left w:w="56" w:type="dxa"/>
              <w:bottom w:w="56" w:type="dxa"/>
              <w:right w:w="56" w:type="dxa"/>
            </w:tcMar>
            <w:hideMark/>
          </w:tcPr>
          <w:p w14:paraId="77DE603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291F03C4"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25E0369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Unsafe water, sanitation, and handwashing</w:t>
            </w:r>
          </w:p>
        </w:tc>
        <w:tc>
          <w:tcPr>
            <w:tcW w:w="3605" w:type="dxa"/>
            <w:tcMar>
              <w:top w:w="56" w:type="dxa"/>
              <w:left w:w="56" w:type="dxa"/>
              <w:bottom w:w="56" w:type="dxa"/>
              <w:right w:w="56" w:type="dxa"/>
            </w:tcMar>
            <w:hideMark/>
          </w:tcPr>
          <w:p w14:paraId="259A33A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27BBE1B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64E35457" w14:textId="77777777" w:rsidTr="00D06B46">
        <w:trPr>
          <w:tblCellSpacing w:w="15" w:type="dxa"/>
        </w:trPr>
        <w:tc>
          <w:tcPr>
            <w:tcW w:w="0" w:type="auto"/>
            <w:tcMar>
              <w:top w:w="56" w:type="dxa"/>
              <w:left w:w="56" w:type="dxa"/>
              <w:bottom w:w="56" w:type="dxa"/>
              <w:right w:w="56" w:type="dxa"/>
            </w:tcMar>
            <w:hideMark/>
          </w:tcPr>
          <w:p w14:paraId="33FEE35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54648049"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2E9A4EC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Unsafe water source</w:t>
            </w:r>
          </w:p>
        </w:tc>
        <w:tc>
          <w:tcPr>
            <w:tcW w:w="3605" w:type="dxa"/>
            <w:tcMar>
              <w:top w:w="56" w:type="dxa"/>
              <w:left w:w="56" w:type="dxa"/>
              <w:bottom w:w="56" w:type="dxa"/>
              <w:right w:w="56" w:type="dxa"/>
            </w:tcMar>
            <w:hideMark/>
          </w:tcPr>
          <w:p w14:paraId="70CD157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individuals with access to different water sources (unimproved, improved except piped, or piped water supply) and reported use of household water treatment methods (boiling or filtering, chlorinating or solar filtering, or no treatment)</w:t>
            </w:r>
          </w:p>
        </w:tc>
        <w:tc>
          <w:tcPr>
            <w:tcW w:w="3645" w:type="dxa"/>
            <w:tcMar>
              <w:top w:w="56" w:type="dxa"/>
              <w:left w:w="56" w:type="dxa"/>
              <w:bottom w:w="56" w:type="dxa"/>
              <w:right w:w="56" w:type="dxa"/>
            </w:tcMar>
            <w:hideMark/>
          </w:tcPr>
          <w:p w14:paraId="06BD42A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All individuals have access to water from a piped water supply that is also boiled or filtered before drinking</w:t>
            </w:r>
          </w:p>
        </w:tc>
      </w:tr>
      <w:tr w:rsidR="00D06B46" w:rsidRPr="00D06B46" w14:paraId="1D100709" w14:textId="77777777" w:rsidTr="00D06B46">
        <w:trPr>
          <w:tblCellSpacing w:w="15" w:type="dxa"/>
        </w:trPr>
        <w:tc>
          <w:tcPr>
            <w:tcW w:w="0" w:type="auto"/>
            <w:tcMar>
              <w:top w:w="56" w:type="dxa"/>
              <w:left w:w="56" w:type="dxa"/>
              <w:bottom w:w="56" w:type="dxa"/>
              <w:right w:w="56" w:type="dxa"/>
            </w:tcMar>
            <w:hideMark/>
          </w:tcPr>
          <w:p w14:paraId="0027856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7361E5C"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23763A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Unsafe sanitation</w:t>
            </w:r>
          </w:p>
        </w:tc>
        <w:tc>
          <w:tcPr>
            <w:tcW w:w="3605" w:type="dxa"/>
            <w:tcMar>
              <w:top w:w="56" w:type="dxa"/>
              <w:left w:w="56" w:type="dxa"/>
              <w:bottom w:w="56" w:type="dxa"/>
              <w:right w:w="56" w:type="dxa"/>
            </w:tcMar>
            <w:hideMark/>
          </w:tcPr>
          <w:p w14:paraId="61F6B04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individuals with access to different sanitation facilities (unimproved, improved except sewer, or sewer connection)</w:t>
            </w:r>
          </w:p>
        </w:tc>
        <w:tc>
          <w:tcPr>
            <w:tcW w:w="3645" w:type="dxa"/>
            <w:tcMar>
              <w:top w:w="56" w:type="dxa"/>
              <w:left w:w="56" w:type="dxa"/>
              <w:bottom w:w="56" w:type="dxa"/>
              <w:right w:w="56" w:type="dxa"/>
            </w:tcMar>
            <w:hideMark/>
          </w:tcPr>
          <w:p w14:paraId="4FD6AF8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All individuals have access to toilets with sewer connection</w:t>
            </w:r>
          </w:p>
        </w:tc>
      </w:tr>
      <w:tr w:rsidR="00D06B46" w:rsidRPr="00D06B46" w14:paraId="7256A039" w14:textId="77777777" w:rsidTr="00D06B46">
        <w:trPr>
          <w:tblCellSpacing w:w="15" w:type="dxa"/>
        </w:trPr>
        <w:tc>
          <w:tcPr>
            <w:tcW w:w="0" w:type="auto"/>
            <w:tcMar>
              <w:top w:w="56" w:type="dxa"/>
              <w:left w:w="56" w:type="dxa"/>
              <w:bottom w:w="56" w:type="dxa"/>
              <w:right w:w="56" w:type="dxa"/>
            </w:tcMar>
            <w:hideMark/>
          </w:tcPr>
          <w:p w14:paraId="0AEA9BF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656D44D0"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2BF5DEB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access to handwashing facility</w:t>
            </w:r>
          </w:p>
        </w:tc>
        <w:tc>
          <w:tcPr>
            <w:tcW w:w="3605" w:type="dxa"/>
            <w:tcMar>
              <w:top w:w="56" w:type="dxa"/>
              <w:left w:w="56" w:type="dxa"/>
              <w:bottom w:w="56" w:type="dxa"/>
              <w:right w:w="56" w:type="dxa"/>
            </w:tcMar>
            <w:hideMark/>
          </w:tcPr>
          <w:p w14:paraId="126DF5B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individuals with access to handwashing facility with soap, water, and wash station</w:t>
            </w:r>
          </w:p>
        </w:tc>
        <w:tc>
          <w:tcPr>
            <w:tcW w:w="3645" w:type="dxa"/>
            <w:tcMar>
              <w:top w:w="56" w:type="dxa"/>
              <w:left w:w="56" w:type="dxa"/>
              <w:bottom w:w="56" w:type="dxa"/>
              <w:right w:w="56" w:type="dxa"/>
            </w:tcMar>
            <w:hideMark/>
          </w:tcPr>
          <w:p w14:paraId="1F77274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All individuals have access to handwashing facility with soap, water, and wash station</w:t>
            </w:r>
          </w:p>
        </w:tc>
      </w:tr>
      <w:tr w:rsidR="00D06B46" w:rsidRPr="00D06B46" w14:paraId="06FE93BF" w14:textId="77777777" w:rsidTr="00D06B46">
        <w:trPr>
          <w:tblCellSpacing w:w="15" w:type="dxa"/>
        </w:trPr>
        <w:tc>
          <w:tcPr>
            <w:tcW w:w="0" w:type="auto"/>
            <w:tcMar>
              <w:top w:w="56" w:type="dxa"/>
              <w:left w:w="56" w:type="dxa"/>
              <w:bottom w:w="56" w:type="dxa"/>
              <w:right w:w="56" w:type="dxa"/>
            </w:tcMar>
            <w:hideMark/>
          </w:tcPr>
          <w:p w14:paraId="004D8F9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gridSpan w:val="3"/>
            <w:tcMar>
              <w:top w:w="56" w:type="dxa"/>
              <w:left w:w="56" w:type="dxa"/>
              <w:bottom w:w="56" w:type="dxa"/>
              <w:right w:w="56" w:type="dxa"/>
            </w:tcMar>
            <w:hideMark/>
          </w:tcPr>
          <w:p w14:paraId="3A894DA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Air pollution</w:t>
            </w:r>
          </w:p>
        </w:tc>
        <w:tc>
          <w:tcPr>
            <w:tcW w:w="3605" w:type="dxa"/>
            <w:tcMar>
              <w:top w:w="56" w:type="dxa"/>
              <w:left w:w="56" w:type="dxa"/>
              <w:bottom w:w="56" w:type="dxa"/>
              <w:right w:w="56" w:type="dxa"/>
            </w:tcMar>
            <w:hideMark/>
          </w:tcPr>
          <w:p w14:paraId="4075887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7801224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1DCB8101" w14:textId="77777777" w:rsidTr="00D06B46">
        <w:trPr>
          <w:tblCellSpacing w:w="15" w:type="dxa"/>
        </w:trPr>
        <w:tc>
          <w:tcPr>
            <w:tcW w:w="0" w:type="auto"/>
            <w:tcMar>
              <w:top w:w="56" w:type="dxa"/>
              <w:left w:w="56" w:type="dxa"/>
              <w:bottom w:w="56" w:type="dxa"/>
              <w:right w:w="56" w:type="dxa"/>
            </w:tcMar>
            <w:hideMark/>
          </w:tcPr>
          <w:p w14:paraId="6F76BCA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lastRenderedPageBreak/>
              <w:t>3</w:t>
            </w:r>
          </w:p>
        </w:tc>
        <w:tc>
          <w:tcPr>
            <w:tcW w:w="0" w:type="auto"/>
            <w:gridSpan w:val="3"/>
            <w:tcMar>
              <w:top w:w="56" w:type="dxa"/>
              <w:left w:w="56" w:type="dxa"/>
              <w:bottom w:w="56" w:type="dxa"/>
              <w:right w:w="56" w:type="dxa"/>
            </w:tcMar>
            <w:hideMark/>
          </w:tcPr>
          <w:p w14:paraId="392F802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Particulate matter pollution</w:t>
            </w:r>
          </w:p>
        </w:tc>
        <w:tc>
          <w:tcPr>
            <w:tcW w:w="3605" w:type="dxa"/>
            <w:tcMar>
              <w:top w:w="56" w:type="dxa"/>
              <w:left w:w="56" w:type="dxa"/>
              <w:bottom w:w="56" w:type="dxa"/>
              <w:right w:w="56" w:type="dxa"/>
            </w:tcMar>
            <w:hideMark/>
          </w:tcPr>
          <w:p w14:paraId="6E54F26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4BE4FC4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w:t>
            </w:r>
          </w:p>
        </w:tc>
      </w:tr>
      <w:tr w:rsidR="00D06B46" w:rsidRPr="00D06B46" w14:paraId="45820168" w14:textId="77777777" w:rsidTr="00D06B46">
        <w:trPr>
          <w:tblCellSpacing w:w="15" w:type="dxa"/>
        </w:trPr>
        <w:tc>
          <w:tcPr>
            <w:tcW w:w="0" w:type="auto"/>
            <w:tcMar>
              <w:top w:w="56" w:type="dxa"/>
              <w:left w:w="56" w:type="dxa"/>
              <w:bottom w:w="56" w:type="dxa"/>
              <w:right w:w="56" w:type="dxa"/>
            </w:tcMar>
            <w:hideMark/>
          </w:tcPr>
          <w:p w14:paraId="2320C5D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3B520DEA"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55EC90D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Ambient particulate matter pollution</w:t>
            </w:r>
          </w:p>
        </w:tc>
        <w:tc>
          <w:tcPr>
            <w:tcW w:w="3605" w:type="dxa"/>
            <w:tcMar>
              <w:top w:w="56" w:type="dxa"/>
              <w:left w:w="56" w:type="dxa"/>
              <w:bottom w:w="56" w:type="dxa"/>
              <w:right w:w="56" w:type="dxa"/>
            </w:tcMar>
            <w:hideMark/>
          </w:tcPr>
          <w:p w14:paraId="6F7C6E5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Annual average daily exposure to outdoor air concentrations of particulate matter with an aerodynamic diameter of ≤2·5 </w:t>
            </w:r>
            <w:proofErr w:type="spellStart"/>
            <w:r w:rsidRPr="00D06B46">
              <w:rPr>
                <w:rFonts w:ascii="Times New Roman" w:eastAsia="Times New Roman" w:hAnsi="Times New Roman" w:cs="Times New Roman"/>
                <w:kern w:val="0"/>
                <w14:ligatures w14:val="none"/>
              </w:rPr>
              <w:t>μm</w:t>
            </w:r>
            <w:proofErr w:type="spellEnd"/>
            <w:r w:rsidRPr="00D06B46">
              <w:rPr>
                <w:rFonts w:ascii="Times New Roman" w:eastAsia="Times New Roman" w:hAnsi="Times New Roman" w:cs="Times New Roman"/>
                <w:kern w:val="0"/>
                <w14:ligatures w14:val="none"/>
              </w:rPr>
              <w:t xml:space="preserve"> (PM</w:t>
            </w:r>
            <w:r w:rsidRPr="00D06B46">
              <w:rPr>
                <w:rFonts w:ascii="revert" w:eastAsia="Times New Roman" w:hAnsi="revert" w:cs="Times New Roman"/>
                <w:kern w:val="0"/>
                <w:sz w:val="20"/>
                <w:szCs w:val="20"/>
                <w:vertAlign w:val="subscript"/>
                <w14:ligatures w14:val="none"/>
              </w:rPr>
              <w:t>2·5</w:t>
            </w:r>
            <w:r w:rsidRPr="00D06B46">
              <w:rPr>
                <w:rFonts w:ascii="Times New Roman" w:eastAsia="Times New Roman" w:hAnsi="Times New Roman" w:cs="Times New Roman"/>
                <w:kern w:val="0"/>
                <w14:ligatures w14:val="none"/>
              </w:rPr>
              <w:t xml:space="preserve">), measured in </w:t>
            </w:r>
            <w:proofErr w:type="spellStart"/>
            <w:r w:rsidRPr="00D06B46">
              <w:rPr>
                <w:rFonts w:ascii="Times New Roman" w:eastAsia="Times New Roman" w:hAnsi="Times New Roman" w:cs="Times New Roman"/>
                <w:kern w:val="0"/>
                <w14:ligatures w14:val="none"/>
              </w:rPr>
              <w:t>μg</w:t>
            </w:r>
            <w:proofErr w:type="spellEnd"/>
            <w:r w:rsidRPr="00D06B46">
              <w:rPr>
                <w:rFonts w:ascii="Times New Roman" w:eastAsia="Times New Roman" w:hAnsi="Times New Roman" w:cs="Times New Roman"/>
                <w:kern w:val="0"/>
                <w14:ligatures w14:val="none"/>
              </w:rPr>
              <w:t>/m</w:t>
            </w:r>
            <w:r w:rsidRPr="00D06B46">
              <w:rPr>
                <w:rFonts w:ascii="revert" w:eastAsia="Times New Roman" w:hAnsi="revert" w:cs="Times New Roman"/>
                <w:kern w:val="0"/>
                <w:sz w:val="20"/>
                <w:szCs w:val="20"/>
                <w:vertAlign w:val="superscript"/>
                <w14:ligatures w14:val="none"/>
              </w:rPr>
              <w:t>3</w:t>
            </w:r>
          </w:p>
        </w:tc>
        <w:tc>
          <w:tcPr>
            <w:tcW w:w="3645" w:type="dxa"/>
            <w:tcMar>
              <w:top w:w="56" w:type="dxa"/>
              <w:left w:w="56" w:type="dxa"/>
              <w:bottom w:w="56" w:type="dxa"/>
              <w:right w:w="56" w:type="dxa"/>
            </w:tcMar>
            <w:hideMark/>
          </w:tcPr>
          <w:p w14:paraId="13A2570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Joint theoretical minimum risk exposure level for both household and ambient particulate matter pollution is a uniform distribution between 2·4 and 5·9 </w:t>
            </w:r>
            <w:proofErr w:type="spellStart"/>
            <w:r w:rsidRPr="00D06B46">
              <w:rPr>
                <w:rFonts w:ascii="Times New Roman" w:eastAsia="Times New Roman" w:hAnsi="Times New Roman" w:cs="Times New Roman"/>
                <w:kern w:val="0"/>
                <w14:ligatures w14:val="none"/>
              </w:rPr>
              <w:t>μg</w:t>
            </w:r>
            <w:proofErr w:type="spellEnd"/>
            <w:r w:rsidRPr="00D06B46">
              <w:rPr>
                <w:rFonts w:ascii="Times New Roman" w:eastAsia="Times New Roman" w:hAnsi="Times New Roman" w:cs="Times New Roman"/>
                <w:kern w:val="0"/>
                <w14:ligatures w14:val="none"/>
              </w:rPr>
              <w:t>/m</w:t>
            </w:r>
            <w:r w:rsidRPr="00D06B46">
              <w:rPr>
                <w:rFonts w:ascii="revert" w:eastAsia="Times New Roman" w:hAnsi="revert" w:cs="Times New Roman"/>
                <w:kern w:val="0"/>
                <w:sz w:val="20"/>
                <w:szCs w:val="20"/>
                <w:vertAlign w:val="superscript"/>
                <w14:ligatures w14:val="none"/>
              </w:rPr>
              <w:t>3</w:t>
            </w:r>
            <w:r w:rsidRPr="00D06B46">
              <w:rPr>
                <w:rFonts w:ascii="Times New Roman" w:eastAsia="Times New Roman" w:hAnsi="Times New Roman" w:cs="Times New Roman"/>
                <w:kern w:val="0"/>
                <w14:ligatures w14:val="none"/>
              </w:rPr>
              <w:t xml:space="preserve">, with burden attributed proportionally between household and particulate matter pollution </w:t>
            </w:r>
            <w:proofErr w:type="gramStart"/>
            <w:r w:rsidRPr="00D06B46">
              <w:rPr>
                <w:rFonts w:ascii="Times New Roman" w:eastAsia="Times New Roman" w:hAnsi="Times New Roman" w:cs="Times New Roman"/>
                <w:kern w:val="0"/>
                <w14:ligatures w14:val="none"/>
              </w:rPr>
              <w:t>on the basis of</w:t>
            </w:r>
            <w:proofErr w:type="gramEnd"/>
            <w:r w:rsidRPr="00D06B46">
              <w:rPr>
                <w:rFonts w:ascii="Times New Roman" w:eastAsia="Times New Roman" w:hAnsi="Times New Roman" w:cs="Times New Roman"/>
                <w:kern w:val="0"/>
                <w14:ligatures w14:val="none"/>
              </w:rPr>
              <w:t xml:space="preserve"> source of PM</w:t>
            </w:r>
            <w:r w:rsidRPr="00D06B46">
              <w:rPr>
                <w:rFonts w:ascii="revert" w:eastAsia="Times New Roman" w:hAnsi="revert" w:cs="Times New Roman"/>
                <w:kern w:val="0"/>
                <w:sz w:val="20"/>
                <w:szCs w:val="20"/>
                <w:vertAlign w:val="subscript"/>
                <w14:ligatures w14:val="none"/>
              </w:rPr>
              <w:t>2·5</w:t>
            </w:r>
            <w:r w:rsidRPr="00D06B46">
              <w:rPr>
                <w:rFonts w:ascii="Times New Roman" w:eastAsia="Times New Roman" w:hAnsi="Times New Roman" w:cs="Times New Roman"/>
                <w:kern w:val="0"/>
                <w14:ligatures w14:val="none"/>
              </w:rPr>
              <w:t> exposure in excess of theoretical minimum risk exposure level</w:t>
            </w:r>
          </w:p>
        </w:tc>
      </w:tr>
      <w:tr w:rsidR="00D06B46" w:rsidRPr="00D06B46" w14:paraId="5E2C7302" w14:textId="77777777" w:rsidTr="00D06B46">
        <w:trPr>
          <w:tblCellSpacing w:w="15" w:type="dxa"/>
        </w:trPr>
        <w:tc>
          <w:tcPr>
            <w:tcW w:w="0" w:type="auto"/>
            <w:tcMar>
              <w:top w:w="56" w:type="dxa"/>
              <w:left w:w="56" w:type="dxa"/>
              <w:bottom w:w="56" w:type="dxa"/>
              <w:right w:w="56" w:type="dxa"/>
            </w:tcMar>
            <w:hideMark/>
          </w:tcPr>
          <w:p w14:paraId="277CDA1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7BC82A27"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9060D0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Household air pollution from solid fuels</w:t>
            </w:r>
          </w:p>
        </w:tc>
        <w:tc>
          <w:tcPr>
            <w:tcW w:w="3605" w:type="dxa"/>
            <w:tcMar>
              <w:top w:w="56" w:type="dxa"/>
              <w:left w:w="56" w:type="dxa"/>
              <w:bottom w:w="56" w:type="dxa"/>
              <w:right w:w="56" w:type="dxa"/>
            </w:tcMar>
            <w:hideMark/>
          </w:tcPr>
          <w:p w14:paraId="082ED74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Individual exposure to PM</w:t>
            </w:r>
            <w:r w:rsidRPr="00D06B46">
              <w:rPr>
                <w:rFonts w:ascii="revert" w:eastAsia="Times New Roman" w:hAnsi="revert" w:cs="Times New Roman"/>
                <w:kern w:val="0"/>
                <w:sz w:val="20"/>
                <w:szCs w:val="20"/>
                <w:vertAlign w:val="subscript"/>
                <w14:ligatures w14:val="none"/>
              </w:rPr>
              <w:t>2·5</w:t>
            </w:r>
            <w:r w:rsidRPr="00D06B46">
              <w:rPr>
                <w:rFonts w:ascii="Times New Roman" w:eastAsia="Times New Roman" w:hAnsi="Times New Roman" w:cs="Times New Roman"/>
                <w:kern w:val="0"/>
                <w14:ligatures w14:val="none"/>
              </w:rPr>
              <w:t> due to use of solid cooking fuel</w:t>
            </w:r>
          </w:p>
        </w:tc>
        <w:tc>
          <w:tcPr>
            <w:tcW w:w="3645" w:type="dxa"/>
            <w:tcMar>
              <w:top w:w="56" w:type="dxa"/>
              <w:left w:w="56" w:type="dxa"/>
              <w:bottom w:w="56" w:type="dxa"/>
              <w:right w:w="56" w:type="dxa"/>
            </w:tcMar>
            <w:hideMark/>
          </w:tcPr>
          <w:p w14:paraId="0805A3C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See ambient particulate matter pollution</w:t>
            </w:r>
          </w:p>
        </w:tc>
      </w:tr>
      <w:tr w:rsidR="00D06B46" w:rsidRPr="00D06B46" w14:paraId="2575A9E6" w14:textId="77777777" w:rsidTr="00D06B46">
        <w:trPr>
          <w:tblCellSpacing w:w="15" w:type="dxa"/>
        </w:trPr>
        <w:tc>
          <w:tcPr>
            <w:tcW w:w="0" w:type="auto"/>
            <w:tcMar>
              <w:top w:w="56" w:type="dxa"/>
              <w:left w:w="56" w:type="dxa"/>
              <w:bottom w:w="56" w:type="dxa"/>
              <w:right w:w="56" w:type="dxa"/>
            </w:tcMar>
            <w:hideMark/>
          </w:tcPr>
          <w:p w14:paraId="6A450BE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gridSpan w:val="3"/>
            <w:tcMar>
              <w:top w:w="56" w:type="dxa"/>
              <w:left w:w="56" w:type="dxa"/>
              <w:bottom w:w="56" w:type="dxa"/>
              <w:right w:w="56" w:type="dxa"/>
            </w:tcMar>
            <w:hideMark/>
          </w:tcPr>
          <w:p w14:paraId="75E6D0F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Ambient ozone pollution</w:t>
            </w:r>
          </w:p>
        </w:tc>
        <w:tc>
          <w:tcPr>
            <w:tcW w:w="3605" w:type="dxa"/>
            <w:tcMar>
              <w:top w:w="56" w:type="dxa"/>
              <w:left w:w="56" w:type="dxa"/>
              <w:bottom w:w="56" w:type="dxa"/>
              <w:right w:w="56" w:type="dxa"/>
            </w:tcMar>
            <w:hideMark/>
          </w:tcPr>
          <w:p w14:paraId="32EBA67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Seasonal (6-month period with highest ozone) 8-h daily maximum ozone concentrations, measured in ppb</w:t>
            </w:r>
          </w:p>
        </w:tc>
        <w:tc>
          <w:tcPr>
            <w:tcW w:w="3645" w:type="dxa"/>
            <w:tcMar>
              <w:top w:w="56" w:type="dxa"/>
              <w:left w:w="56" w:type="dxa"/>
              <w:bottom w:w="56" w:type="dxa"/>
              <w:right w:w="56" w:type="dxa"/>
            </w:tcMar>
            <w:hideMark/>
          </w:tcPr>
          <w:p w14:paraId="155D09B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Uniform distribution between 29·1 and 35·7 ppb</w:t>
            </w:r>
          </w:p>
        </w:tc>
      </w:tr>
      <w:tr w:rsidR="00D06B46" w:rsidRPr="00D06B46" w14:paraId="08013A60" w14:textId="77777777" w:rsidTr="00D06B46">
        <w:trPr>
          <w:tblCellSpacing w:w="15" w:type="dxa"/>
        </w:trPr>
        <w:tc>
          <w:tcPr>
            <w:tcW w:w="0" w:type="auto"/>
            <w:tcMar>
              <w:top w:w="56" w:type="dxa"/>
              <w:left w:w="56" w:type="dxa"/>
              <w:bottom w:w="56" w:type="dxa"/>
              <w:right w:w="56" w:type="dxa"/>
            </w:tcMar>
            <w:hideMark/>
          </w:tcPr>
          <w:p w14:paraId="2E03968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gridSpan w:val="3"/>
            <w:tcMar>
              <w:top w:w="56" w:type="dxa"/>
              <w:left w:w="56" w:type="dxa"/>
              <w:bottom w:w="56" w:type="dxa"/>
              <w:right w:w="56" w:type="dxa"/>
            </w:tcMar>
            <w:hideMark/>
          </w:tcPr>
          <w:p w14:paraId="5AB3695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Other environmental risks</w:t>
            </w:r>
          </w:p>
        </w:tc>
        <w:tc>
          <w:tcPr>
            <w:tcW w:w="3605" w:type="dxa"/>
            <w:tcMar>
              <w:top w:w="56" w:type="dxa"/>
              <w:left w:w="56" w:type="dxa"/>
              <w:bottom w:w="56" w:type="dxa"/>
              <w:right w:w="56" w:type="dxa"/>
            </w:tcMar>
            <w:hideMark/>
          </w:tcPr>
          <w:p w14:paraId="2FDC87A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3A4C8D6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7E8B0C05" w14:textId="77777777" w:rsidTr="00D06B46">
        <w:trPr>
          <w:tblCellSpacing w:w="15" w:type="dxa"/>
        </w:trPr>
        <w:tc>
          <w:tcPr>
            <w:tcW w:w="0" w:type="auto"/>
            <w:tcMar>
              <w:top w:w="56" w:type="dxa"/>
              <w:left w:w="56" w:type="dxa"/>
              <w:bottom w:w="56" w:type="dxa"/>
              <w:right w:w="56" w:type="dxa"/>
            </w:tcMar>
            <w:hideMark/>
          </w:tcPr>
          <w:p w14:paraId="322931D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gridSpan w:val="3"/>
            <w:tcMar>
              <w:top w:w="56" w:type="dxa"/>
              <w:left w:w="56" w:type="dxa"/>
              <w:bottom w:w="56" w:type="dxa"/>
              <w:right w:w="56" w:type="dxa"/>
            </w:tcMar>
            <w:hideMark/>
          </w:tcPr>
          <w:p w14:paraId="716AE5F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Residential radon</w:t>
            </w:r>
          </w:p>
        </w:tc>
        <w:tc>
          <w:tcPr>
            <w:tcW w:w="3605" w:type="dxa"/>
            <w:tcMar>
              <w:top w:w="56" w:type="dxa"/>
              <w:left w:w="56" w:type="dxa"/>
              <w:bottom w:w="56" w:type="dxa"/>
              <w:right w:w="56" w:type="dxa"/>
            </w:tcMar>
            <w:hideMark/>
          </w:tcPr>
          <w:p w14:paraId="2D0435A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Average daily exposure to indoor air radon levels measured in becquerels (radon disintegrations per second) per cubic </w:t>
            </w:r>
            <w:proofErr w:type="spellStart"/>
            <w:r w:rsidRPr="00D06B46">
              <w:rPr>
                <w:rFonts w:ascii="Times New Roman" w:eastAsia="Times New Roman" w:hAnsi="Times New Roman" w:cs="Times New Roman"/>
                <w:kern w:val="0"/>
                <w14:ligatures w14:val="none"/>
              </w:rPr>
              <w:t>metre</w:t>
            </w:r>
            <w:proofErr w:type="spellEnd"/>
            <w:r w:rsidRPr="00D06B46">
              <w:rPr>
                <w:rFonts w:ascii="Times New Roman" w:eastAsia="Times New Roman" w:hAnsi="Times New Roman" w:cs="Times New Roman"/>
                <w:kern w:val="0"/>
                <w14:ligatures w14:val="none"/>
              </w:rPr>
              <w:t xml:space="preserve"> (</w:t>
            </w:r>
            <w:proofErr w:type="spellStart"/>
            <w:r w:rsidRPr="00D06B46">
              <w:rPr>
                <w:rFonts w:ascii="Times New Roman" w:eastAsia="Times New Roman" w:hAnsi="Times New Roman" w:cs="Times New Roman"/>
                <w:kern w:val="0"/>
                <w14:ligatures w14:val="none"/>
              </w:rPr>
              <w:t>Bq</w:t>
            </w:r>
            <w:proofErr w:type="spellEnd"/>
            <w:r w:rsidRPr="00D06B46">
              <w:rPr>
                <w:rFonts w:ascii="Times New Roman" w:eastAsia="Times New Roman" w:hAnsi="Times New Roman" w:cs="Times New Roman"/>
                <w:kern w:val="0"/>
                <w14:ligatures w14:val="none"/>
              </w:rPr>
              <w:t>/m</w:t>
            </w:r>
            <w:r w:rsidRPr="00D06B46">
              <w:rPr>
                <w:rFonts w:ascii="revert" w:eastAsia="Times New Roman" w:hAnsi="revert" w:cs="Times New Roman"/>
                <w:kern w:val="0"/>
                <w:sz w:val="20"/>
                <w:szCs w:val="20"/>
                <w:vertAlign w:val="superscript"/>
                <w14:ligatures w14:val="none"/>
              </w:rPr>
              <w:t>3</w:t>
            </w:r>
            <w:r w:rsidRPr="00D06B46">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158B1F1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10 </w:t>
            </w:r>
            <w:proofErr w:type="spellStart"/>
            <w:r w:rsidRPr="00D06B46">
              <w:rPr>
                <w:rFonts w:ascii="Times New Roman" w:eastAsia="Times New Roman" w:hAnsi="Times New Roman" w:cs="Times New Roman"/>
                <w:kern w:val="0"/>
                <w14:ligatures w14:val="none"/>
              </w:rPr>
              <w:t>Bq</w:t>
            </w:r>
            <w:proofErr w:type="spellEnd"/>
            <w:r w:rsidRPr="00D06B46">
              <w:rPr>
                <w:rFonts w:ascii="Times New Roman" w:eastAsia="Times New Roman" w:hAnsi="Times New Roman" w:cs="Times New Roman"/>
                <w:kern w:val="0"/>
                <w14:ligatures w14:val="none"/>
              </w:rPr>
              <w:t>/m</w:t>
            </w:r>
            <w:r w:rsidRPr="00D06B46">
              <w:rPr>
                <w:rFonts w:ascii="revert" w:eastAsia="Times New Roman" w:hAnsi="revert" w:cs="Times New Roman"/>
                <w:kern w:val="0"/>
                <w:sz w:val="20"/>
                <w:szCs w:val="20"/>
                <w:vertAlign w:val="superscript"/>
                <w14:ligatures w14:val="none"/>
              </w:rPr>
              <w:t>3</w:t>
            </w:r>
            <w:r w:rsidRPr="00D06B46">
              <w:rPr>
                <w:rFonts w:ascii="Times New Roman" w:eastAsia="Times New Roman" w:hAnsi="Times New Roman" w:cs="Times New Roman"/>
                <w:kern w:val="0"/>
                <w14:ligatures w14:val="none"/>
              </w:rPr>
              <w:t>, corresponding to the outdoor concentration of radon</w:t>
            </w:r>
          </w:p>
        </w:tc>
      </w:tr>
      <w:tr w:rsidR="00D06B46" w:rsidRPr="00D06B46" w14:paraId="1E5D15B6" w14:textId="77777777" w:rsidTr="00D06B46">
        <w:trPr>
          <w:tblCellSpacing w:w="15" w:type="dxa"/>
        </w:trPr>
        <w:tc>
          <w:tcPr>
            <w:tcW w:w="0" w:type="auto"/>
            <w:tcMar>
              <w:top w:w="56" w:type="dxa"/>
              <w:left w:w="56" w:type="dxa"/>
              <w:bottom w:w="56" w:type="dxa"/>
              <w:right w:w="56" w:type="dxa"/>
            </w:tcMar>
            <w:hideMark/>
          </w:tcPr>
          <w:p w14:paraId="3759155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gridSpan w:val="3"/>
            <w:tcMar>
              <w:top w:w="56" w:type="dxa"/>
              <w:left w:w="56" w:type="dxa"/>
              <w:bottom w:w="56" w:type="dxa"/>
              <w:right w:w="56" w:type="dxa"/>
            </w:tcMar>
            <w:hideMark/>
          </w:tcPr>
          <w:p w14:paraId="6F94E92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Lead exposure</w:t>
            </w:r>
          </w:p>
        </w:tc>
        <w:tc>
          <w:tcPr>
            <w:tcW w:w="3605" w:type="dxa"/>
            <w:tcMar>
              <w:top w:w="56" w:type="dxa"/>
              <w:left w:w="56" w:type="dxa"/>
              <w:bottom w:w="56" w:type="dxa"/>
              <w:right w:w="56" w:type="dxa"/>
            </w:tcMar>
            <w:hideMark/>
          </w:tcPr>
          <w:p w14:paraId="3EC12D4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Blood </w:t>
            </w:r>
            <w:proofErr w:type="gramStart"/>
            <w:r w:rsidRPr="00D06B46">
              <w:rPr>
                <w:rFonts w:ascii="Times New Roman" w:eastAsia="Times New Roman" w:hAnsi="Times New Roman" w:cs="Times New Roman"/>
                <w:kern w:val="0"/>
                <w14:ligatures w14:val="none"/>
              </w:rPr>
              <w:t>lead</w:t>
            </w:r>
            <w:proofErr w:type="gramEnd"/>
            <w:r w:rsidRPr="00D06B46">
              <w:rPr>
                <w:rFonts w:ascii="Times New Roman" w:eastAsia="Times New Roman" w:hAnsi="Times New Roman" w:cs="Times New Roman"/>
                <w:kern w:val="0"/>
                <w14:ligatures w14:val="none"/>
              </w:rPr>
              <w:t xml:space="preserve"> levels in </w:t>
            </w:r>
            <w:proofErr w:type="spellStart"/>
            <w:r w:rsidRPr="00D06B46">
              <w:rPr>
                <w:rFonts w:ascii="Times New Roman" w:eastAsia="Times New Roman" w:hAnsi="Times New Roman" w:cs="Times New Roman"/>
                <w:kern w:val="0"/>
                <w14:ligatures w14:val="none"/>
              </w:rPr>
              <w:t>μg</w:t>
            </w:r>
            <w:proofErr w:type="spellEnd"/>
            <w:r w:rsidRPr="00D06B46">
              <w:rPr>
                <w:rFonts w:ascii="Times New Roman" w:eastAsia="Times New Roman" w:hAnsi="Times New Roman" w:cs="Times New Roman"/>
                <w:kern w:val="0"/>
                <w14:ligatures w14:val="none"/>
              </w:rPr>
              <w:t xml:space="preserve">/dL of blood, bone lead levels in </w:t>
            </w:r>
            <w:proofErr w:type="spellStart"/>
            <w:r w:rsidRPr="00D06B46">
              <w:rPr>
                <w:rFonts w:ascii="Times New Roman" w:eastAsia="Times New Roman" w:hAnsi="Times New Roman" w:cs="Times New Roman"/>
                <w:kern w:val="0"/>
                <w14:ligatures w14:val="none"/>
              </w:rPr>
              <w:t>μg</w:t>
            </w:r>
            <w:proofErr w:type="spellEnd"/>
            <w:r w:rsidRPr="00D06B46">
              <w:rPr>
                <w:rFonts w:ascii="Times New Roman" w:eastAsia="Times New Roman" w:hAnsi="Times New Roman" w:cs="Times New Roman"/>
                <w:kern w:val="0"/>
                <w14:ligatures w14:val="none"/>
              </w:rPr>
              <w:t>/g of bone</w:t>
            </w:r>
          </w:p>
        </w:tc>
        <w:tc>
          <w:tcPr>
            <w:tcW w:w="3645" w:type="dxa"/>
            <w:tcMar>
              <w:top w:w="56" w:type="dxa"/>
              <w:left w:w="56" w:type="dxa"/>
              <w:bottom w:w="56" w:type="dxa"/>
              <w:right w:w="56" w:type="dxa"/>
            </w:tcMar>
            <w:hideMark/>
          </w:tcPr>
          <w:p w14:paraId="13F2A19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2 </w:t>
            </w:r>
            <w:proofErr w:type="spellStart"/>
            <w:r w:rsidRPr="00D06B46">
              <w:rPr>
                <w:rFonts w:ascii="Times New Roman" w:eastAsia="Times New Roman" w:hAnsi="Times New Roman" w:cs="Times New Roman"/>
                <w:kern w:val="0"/>
                <w14:ligatures w14:val="none"/>
              </w:rPr>
              <w:t>μg</w:t>
            </w:r>
            <w:proofErr w:type="spellEnd"/>
            <w:r w:rsidRPr="00D06B46">
              <w:rPr>
                <w:rFonts w:ascii="Times New Roman" w:eastAsia="Times New Roman" w:hAnsi="Times New Roman" w:cs="Times New Roman"/>
                <w:kern w:val="0"/>
                <w14:ligatures w14:val="none"/>
              </w:rPr>
              <w:t xml:space="preserve">/dL, corresponding to lead levels in pre-industrial humans as </w:t>
            </w:r>
            <w:r w:rsidRPr="00D06B46">
              <w:rPr>
                <w:rFonts w:ascii="Times New Roman" w:eastAsia="Times New Roman" w:hAnsi="Times New Roman" w:cs="Times New Roman"/>
                <w:kern w:val="0"/>
                <w14:ligatures w14:val="none"/>
              </w:rPr>
              <w:lastRenderedPageBreak/>
              <w:t>natural sources of lead prevent the feasibility of zero exposure</w:t>
            </w:r>
          </w:p>
        </w:tc>
      </w:tr>
      <w:tr w:rsidR="00D06B46" w:rsidRPr="00D06B46" w14:paraId="5C4A9945" w14:textId="77777777" w:rsidTr="00D06B46">
        <w:trPr>
          <w:tblCellSpacing w:w="15" w:type="dxa"/>
        </w:trPr>
        <w:tc>
          <w:tcPr>
            <w:tcW w:w="0" w:type="auto"/>
            <w:tcMar>
              <w:top w:w="56" w:type="dxa"/>
              <w:left w:w="56" w:type="dxa"/>
              <w:bottom w:w="56" w:type="dxa"/>
              <w:right w:w="56" w:type="dxa"/>
            </w:tcMar>
            <w:hideMark/>
          </w:tcPr>
          <w:p w14:paraId="7416973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lastRenderedPageBreak/>
              <w:t>2</w:t>
            </w:r>
          </w:p>
        </w:tc>
        <w:tc>
          <w:tcPr>
            <w:tcW w:w="0" w:type="auto"/>
            <w:tcMar>
              <w:top w:w="56" w:type="dxa"/>
              <w:left w:w="56" w:type="dxa"/>
              <w:bottom w:w="56" w:type="dxa"/>
              <w:right w:w="56" w:type="dxa"/>
            </w:tcMar>
            <w:hideMark/>
          </w:tcPr>
          <w:p w14:paraId="21B430B6"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18BD893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Occupational risks</w:t>
            </w:r>
          </w:p>
        </w:tc>
        <w:tc>
          <w:tcPr>
            <w:tcW w:w="3605" w:type="dxa"/>
            <w:tcMar>
              <w:top w:w="56" w:type="dxa"/>
              <w:left w:w="56" w:type="dxa"/>
              <w:bottom w:w="56" w:type="dxa"/>
              <w:right w:w="56" w:type="dxa"/>
            </w:tcMar>
            <w:hideMark/>
          </w:tcPr>
          <w:p w14:paraId="3A45C75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21FC3B1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176313BF" w14:textId="77777777" w:rsidTr="00D06B46">
        <w:trPr>
          <w:tblCellSpacing w:w="15" w:type="dxa"/>
        </w:trPr>
        <w:tc>
          <w:tcPr>
            <w:tcW w:w="0" w:type="auto"/>
            <w:tcMar>
              <w:top w:w="56" w:type="dxa"/>
              <w:left w:w="56" w:type="dxa"/>
              <w:bottom w:w="56" w:type="dxa"/>
              <w:right w:w="56" w:type="dxa"/>
            </w:tcMar>
            <w:hideMark/>
          </w:tcPr>
          <w:p w14:paraId="34E6CC6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153D3BB4"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6928348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carcinogens</w:t>
            </w:r>
          </w:p>
        </w:tc>
        <w:tc>
          <w:tcPr>
            <w:tcW w:w="3605" w:type="dxa"/>
            <w:tcMar>
              <w:top w:w="56" w:type="dxa"/>
              <w:left w:w="56" w:type="dxa"/>
              <w:bottom w:w="56" w:type="dxa"/>
              <w:right w:w="56" w:type="dxa"/>
            </w:tcMar>
            <w:hideMark/>
          </w:tcPr>
          <w:p w14:paraId="46739AC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5C056A3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w:t>
            </w:r>
          </w:p>
        </w:tc>
      </w:tr>
      <w:tr w:rsidR="00D06B46" w:rsidRPr="00D06B46" w14:paraId="02AD3839" w14:textId="77777777" w:rsidTr="00D06B46">
        <w:trPr>
          <w:tblCellSpacing w:w="15" w:type="dxa"/>
        </w:trPr>
        <w:tc>
          <w:tcPr>
            <w:tcW w:w="0" w:type="auto"/>
            <w:tcMar>
              <w:top w:w="56" w:type="dxa"/>
              <w:left w:w="56" w:type="dxa"/>
              <w:bottom w:w="56" w:type="dxa"/>
              <w:right w:w="56" w:type="dxa"/>
            </w:tcMar>
            <w:hideMark/>
          </w:tcPr>
          <w:p w14:paraId="4EF9345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4958EE87"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73C3887B"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2F57D5E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asbestos</w:t>
            </w:r>
          </w:p>
        </w:tc>
        <w:tc>
          <w:tcPr>
            <w:tcW w:w="3605" w:type="dxa"/>
            <w:tcMar>
              <w:top w:w="56" w:type="dxa"/>
              <w:left w:w="56" w:type="dxa"/>
              <w:bottom w:w="56" w:type="dxa"/>
              <w:right w:w="56" w:type="dxa"/>
            </w:tcMar>
            <w:hideMark/>
          </w:tcPr>
          <w:p w14:paraId="57B635F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with cumulative lifetime exposure to occupational asbestos</w:t>
            </w:r>
          </w:p>
        </w:tc>
        <w:tc>
          <w:tcPr>
            <w:tcW w:w="3645" w:type="dxa"/>
            <w:tcMar>
              <w:top w:w="56" w:type="dxa"/>
              <w:left w:w="56" w:type="dxa"/>
              <w:bottom w:w="56" w:type="dxa"/>
              <w:right w:w="56" w:type="dxa"/>
            </w:tcMar>
            <w:hideMark/>
          </w:tcPr>
          <w:p w14:paraId="04413B4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asbestos</w:t>
            </w:r>
          </w:p>
        </w:tc>
      </w:tr>
      <w:tr w:rsidR="00D06B46" w:rsidRPr="00D06B46" w14:paraId="410E96F4" w14:textId="77777777" w:rsidTr="00D06B46">
        <w:trPr>
          <w:tblCellSpacing w:w="15" w:type="dxa"/>
        </w:trPr>
        <w:tc>
          <w:tcPr>
            <w:tcW w:w="0" w:type="auto"/>
            <w:tcMar>
              <w:top w:w="56" w:type="dxa"/>
              <w:left w:w="56" w:type="dxa"/>
              <w:bottom w:w="56" w:type="dxa"/>
              <w:right w:w="56" w:type="dxa"/>
            </w:tcMar>
            <w:hideMark/>
          </w:tcPr>
          <w:p w14:paraId="4A52935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5CEB1FA9"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432A89EF"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51FA731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arsenic</w:t>
            </w:r>
          </w:p>
        </w:tc>
        <w:tc>
          <w:tcPr>
            <w:tcW w:w="3605" w:type="dxa"/>
            <w:tcMar>
              <w:top w:w="56" w:type="dxa"/>
              <w:left w:w="56" w:type="dxa"/>
              <w:bottom w:w="56" w:type="dxa"/>
              <w:right w:w="56" w:type="dxa"/>
            </w:tcMar>
            <w:hideMark/>
          </w:tcPr>
          <w:p w14:paraId="101ED87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arsenic at work or through their occupation</w:t>
            </w:r>
          </w:p>
        </w:tc>
        <w:tc>
          <w:tcPr>
            <w:tcW w:w="3645" w:type="dxa"/>
            <w:tcMar>
              <w:top w:w="56" w:type="dxa"/>
              <w:left w:w="56" w:type="dxa"/>
              <w:bottom w:w="56" w:type="dxa"/>
              <w:right w:w="56" w:type="dxa"/>
            </w:tcMar>
            <w:hideMark/>
          </w:tcPr>
          <w:p w14:paraId="0A63C25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arsenic</w:t>
            </w:r>
          </w:p>
        </w:tc>
      </w:tr>
      <w:tr w:rsidR="00D06B46" w:rsidRPr="00D06B46" w14:paraId="249CD769" w14:textId="77777777" w:rsidTr="00D06B46">
        <w:trPr>
          <w:tblCellSpacing w:w="15" w:type="dxa"/>
        </w:trPr>
        <w:tc>
          <w:tcPr>
            <w:tcW w:w="0" w:type="auto"/>
            <w:tcMar>
              <w:top w:w="56" w:type="dxa"/>
              <w:left w:w="56" w:type="dxa"/>
              <w:bottom w:w="56" w:type="dxa"/>
              <w:right w:w="56" w:type="dxa"/>
            </w:tcMar>
            <w:hideMark/>
          </w:tcPr>
          <w:p w14:paraId="67C1DED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138DB90B"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3F00888E"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128373D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benzene</w:t>
            </w:r>
          </w:p>
        </w:tc>
        <w:tc>
          <w:tcPr>
            <w:tcW w:w="3605" w:type="dxa"/>
            <w:tcMar>
              <w:top w:w="56" w:type="dxa"/>
              <w:left w:w="56" w:type="dxa"/>
              <w:bottom w:w="56" w:type="dxa"/>
              <w:right w:w="56" w:type="dxa"/>
            </w:tcMar>
            <w:hideMark/>
          </w:tcPr>
          <w:p w14:paraId="5800118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benzene at work or through their occupation</w:t>
            </w:r>
          </w:p>
        </w:tc>
        <w:tc>
          <w:tcPr>
            <w:tcW w:w="3645" w:type="dxa"/>
            <w:tcMar>
              <w:top w:w="56" w:type="dxa"/>
              <w:left w:w="56" w:type="dxa"/>
              <w:bottom w:w="56" w:type="dxa"/>
              <w:right w:w="56" w:type="dxa"/>
            </w:tcMar>
            <w:hideMark/>
          </w:tcPr>
          <w:p w14:paraId="15ACCBF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benzene</w:t>
            </w:r>
          </w:p>
        </w:tc>
      </w:tr>
      <w:tr w:rsidR="00D06B46" w:rsidRPr="00D06B46" w14:paraId="443C6433" w14:textId="77777777" w:rsidTr="00D06B46">
        <w:trPr>
          <w:tblCellSpacing w:w="15" w:type="dxa"/>
        </w:trPr>
        <w:tc>
          <w:tcPr>
            <w:tcW w:w="0" w:type="auto"/>
            <w:tcMar>
              <w:top w:w="56" w:type="dxa"/>
              <w:left w:w="56" w:type="dxa"/>
              <w:bottom w:w="56" w:type="dxa"/>
              <w:right w:w="56" w:type="dxa"/>
            </w:tcMar>
            <w:hideMark/>
          </w:tcPr>
          <w:p w14:paraId="30008C7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201AA434"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391A1DFB"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39FCFDC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beryllium</w:t>
            </w:r>
          </w:p>
        </w:tc>
        <w:tc>
          <w:tcPr>
            <w:tcW w:w="3605" w:type="dxa"/>
            <w:tcMar>
              <w:top w:w="56" w:type="dxa"/>
              <w:left w:w="56" w:type="dxa"/>
              <w:bottom w:w="56" w:type="dxa"/>
              <w:right w:w="56" w:type="dxa"/>
            </w:tcMar>
            <w:hideMark/>
          </w:tcPr>
          <w:p w14:paraId="39A07BB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beryllium at work or through their occupation</w:t>
            </w:r>
          </w:p>
        </w:tc>
        <w:tc>
          <w:tcPr>
            <w:tcW w:w="3645" w:type="dxa"/>
            <w:tcMar>
              <w:top w:w="56" w:type="dxa"/>
              <w:left w:w="56" w:type="dxa"/>
              <w:bottom w:w="56" w:type="dxa"/>
              <w:right w:w="56" w:type="dxa"/>
            </w:tcMar>
            <w:hideMark/>
          </w:tcPr>
          <w:p w14:paraId="5CB796D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beryllium</w:t>
            </w:r>
          </w:p>
        </w:tc>
      </w:tr>
      <w:tr w:rsidR="00D06B46" w:rsidRPr="00D06B46" w14:paraId="4DE77EDC" w14:textId="77777777" w:rsidTr="00D06B46">
        <w:trPr>
          <w:tblCellSpacing w:w="15" w:type="dxa"/>
        </w:trPr>
        <w:tc>
          <w:tcPr>
            <w:tcW w:w="0" w:type="auto"/>
            <w:tcMar>
              <w:top w:w="56" w:type="dxa"/>
              <w:left w:w="56" w:type="dxa"/>
              <w:bottom w:w="56" w:type="dxa"/>
              <w:right w:w="56" w:type="dxa"/>
            </w:tcMar>
            <w:hideMark/>
          </w:tcPr>
          <w:p w14:paraId="5BDCC43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3F5FEA43"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5DAAF157"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01F9911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cadmium</w:t>
            </w:r>
          </w:p>
        </w:tc>
        <w:tc>
          <w:tcPr>
            <w:tcW w:w="3605" w:type="dxa"/>
            <w:tcMar>
              <w:top w:w="56" w:type="dxa"/>
              <w:left w:w="56" w:type="dxa"/>
              <w:bottom w:w="56" w:type="dxa"/>
              <w:right w:w="56" w:type="dxa"/>
            </w:tcMar>
            <w:hideMark/>
          </w:tcPr>
          <w:p w14:paraId="5E40DEB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cadmium at work or through their occupation</w:t>
            </w:r>
          </w:p>
        </w:tc>
        <w:tc>
          <w:tcPr>
            <w:tcW w:w="3645" w:type="dxa"/>
            <w:tcMar>
              <w:top w:w="56" w:type="dxa"/>
              <w:left w:w="56" w:type="dxa"/>
              <w:bottom w:w="56" w:type="dxa"/>
              <w:right w:w="56" w:type="dxa"/>
            </w:tcMar>
            <w:hideMark/>
          </w:tcPr>
          <w:p w14:paraId="79AC58B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cadmium</w:t>
            </w:r>
          </w:p>
        </w:tc>
      </w:tr>
      <w:tr w:rsidR="00D06B46" w:rsidRPr="00D06B46" w14:paraId="77148E63" w14:textId="77777777" w:rsidTr="00D06B46">
        <w:trPr>
          <w:tblCellSpacing w:w="15" w:type="dxa"/>
        </w:trPr>
        <w:tc>
          <w:tcPr>
            <w:tcW w:w="0" w:type="auto"/>
            <w:tcMar>
              <w:top w:w="56" w:type="dxa"/>
              <w:left w:w="56" w:type="dxa"/>
              <w:bottom w:w="56" w:type="dxa"/>
              <w:right w:w="56" w:type="dxa"/>
            </w:tcMar>
            <w:hideMark/>
          </w:tcPr>
          <w:p w14:paraId="44FAADB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5FE71F9E"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40B4DDF2"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75B355D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chromium</w:t>
            </w:r>
          </w:p>
        </w:tc>
        <w:tc>
          <w:tcPr>
            <w:tcW w:w="3605" w:type="dxa"/>
            <w:tcMar>
              <w:top w:w="56" w:type="dxa"/>
              <w:left w:w="56" w:type="dxa"/>
              <w:bottom w:w="56" w:type="dxa"/>
              <w:right w:w="56" w:type="dxa"/>
            </w:tcMar>
            <w:hideMark/>
          </w:tcPr>
          <w:p w14:paraId="7BF0290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chromium at work or through their occupation</w:t>
            </w:r>
          </w:p>
        </w:tc>
        <w:tc>
          <w:tcPr>
            <w:tcW w:w="3645" w:type="dxa"/>
            <w:tcMar>
              <w:top w:w="56" w:type="dxa"/>
              <w:left w:w="56" w:type="dxa"/>
              <w:bottom w:w="56" w:type="dxa"/>
              <w:right w:w="56" w:type="dxa"/>
            </w:tcMar>
            <w:hideMark/>
          </w:tcPr>
          <w:p w14:paraId="47623C1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chromium</w:t>
            </w:r>
          </w:p>
        </w:tc>
      </w:tr>
      <w:tr w:rsidR="00D06B46" w:rsidRPr="00D06B46" w14:paraId="08275CAD" w14:textId="77777777" w:rsidTr="00D06B46">
        <w:trPr>
          <w:tblCellSpacing w:w="15" w:type="dxa"/>
        </w:trPr>
        <w:tc>
          <w:tcPr>
            <w:tcW w:w="0" w:type="auto"/>
            <w:tcMar>
              <w:top w:w="56" w:type="dxa"/>
              <w:left w:w="56" w:type="dxa"/>
              <w:bottom w:w="56" w:type="dxa"/>
              <w:right w:w="56" w:type="dxa"/>
            </w:tcMar>
            <w:hideMark/>
          </w:tcPr>
          <w:p w14:paraId="6AA758F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lastRenderedPageBreak/>
              <w:t>4</w:t>
            </w:r>
          </w:p>
        </w:tc>
        <w:tc>
          <w:tcPr>
            <w:tcW w:w="0" w:type="auto"/>
            <w:tcMar>
              <w:top w:w="56" w:type="dxa"/>
              <w:left w:w="56" w:type="dxa"/>
              <w:bottom w:w="56" w:type="dxa"/>
              <w:right w:w="56" w:type="dxa"/>
            </w:tcMar>
            <w:hideMark/>
          </w:tcPr>
          <w:p w14:paraId="310DA07A"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72D2357E"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055B266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diesel engine exhaust</w:t>
            </w:r>
          </w:p>
        </w:tc>
        <w:tc>
          <w:tcPr>
            <w:tcW w:w="3605" w:type="dxa"/>
            <w:tcMar>
              <w:top w:w="56" w:type="dxa"/>
              <w:left w:w="56" w:type="dxa"/>
              <w:bottom w:w="56" w:type="dxa"/>
              <w:right w:w="56" w:type="dxa"/>
            </w:tcMar>
            <w:hideMark/>
          </w:tcPr>
          <w:p w14:paraId="14DDDC9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diesel engine exhaust at work or through their occupation</w:t>
            </w:r>
          </w:p>
        </w:tc>
        <w:tc>
          <w:tcPr>
            <w:tcW w:w="3645" w:type="dxa"/>
            <w:tcMar>
              <w:top w:w="56" w:type="dxa"/>
              <w:left w:w="56" w:type="dxa"/>
              <w:bottom w:w="56" w:type="dxa"/>
              <w:right w:w="56" w:type="dxa"/>
            </w:tcMar>
            <w:hideMark/>
          </w:tcPr>
          <w:p w14:paraId="1E657C0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diesel engine exhaust</w:t>
            </w:r>
          </w:p>
        </w:tc>
      </w:tr>
      <w:tr w:rsidR="00D06B46" w:rsidRPr="00D06B46" w14:paraId="3F2A8FC3" w14:textId="77777777" w:rsidTr="00D06B46">
        <w:trPr>
          <w:tblCellSpacing w:w="15" w:type="dxa"/>
        </w:trPr>
        <w:tc>
          <w:tcPr>
            <w:tcW w:w="0" w:type="auto"/>
            <w:tcMar>
              <w:top w:w="56" w:type="dxa"/>
              <w:left w:w="56" w:type="dxa"/>
              <w:bottom w:w="56" w:type="dxa"/>
              <w:right w:w="56" w:type="dxa"/>
            </w:tcMar>
            <w:hideMark/>
          </w:tcPr>
          <w:p w14:paraId="691B048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4C89AB46"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587C7C69"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3ABDBC2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formaldehyde</w:t>
            </w:r>
          </w:p>
        </w:tc>
        <w:tc>
          <w:tcPr>
            <w:tcW w:w="3605" w:type="dxa"/>
            <w:tcMar>
              <w:top w:w="56" w:type="dxa"/>
              <w:left w:w="56" w:type="dxa"/>
              <w:bottom w:w="56" w:type="dxa"/>
              <w:right w:w="56" w:type="dxa"/>
            </w:tcMar>
            <w:hideMark/>
          </w:tcPr>
          <w:p w14:paraId="1BE7451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formaldehyde at work or through their occupation</w:t>
            </w:r>
          </w:p>
        </w:tc>
        <w:tc>
          <w:tcPr>
            <w:tcW w:w="3645" w:type="dxa"/>
            <w:tcMar>
              <w:top w:w="56" w:type="dxa"/>
              <w:left w:w="56" w:type="dxa"/>
              <w:bottom w:w="56" w:type="dxa"/>
              <w:right w:w="56" w:type="dxa"/>
            </w:tcMar>
            <w:hideMark/>
          </w:tcPr>
          <w:p w14:paraId="1252239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formaldehyde</w:t>
            </w:r>
          </w:p>
        </w:tc>
      </w:tr>
      <w:tr w:rsidR="00D06B46" w:rsidRPr="00D06B46" w14:paraId="6B7A9405" w14:textId="77777777" w:rsidTr="00D06B46">
        <w:trPr>
          <w:tblCellSpacing w:w="15" w:type="dxa"/>
        </w:trPr>
        <w:tc>
          <w:tcPr>
            <w:tcW w:w="0" w:type="auto"/>
            <w:tcMar>
              <w:top w:w="56" w:type="dxa"/>
              <w:left w:w="56" w:type="dxa"/>
              <w:bottom w:w="56" w:type="dxa"/>
              <w:right w:w="56" w:type="dxa"/>
            </w:tcMar>
            <w:hideMark/>
          </w:tcPr>
          <w:p w14:paraId="5ED9F93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6B3B8B59"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665DCEA4"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37CD466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nickel</w:t>
            </w:r>
          </w:p>
        </w:tc>
        <w:tc>
          <w:tcPr>
            <w:tcW w:w="3605" w:type="dxa"/>
            <w:tcMar>
              <w:top w:w="56" w:type="dxa"/>
              <w:left w:w="56" w:type="dxa"/>
              <w:bottom w:w="56" w:type="dxa"/>
              <w:right w:w="56" w:type="dxa"/>
            </w:tcMar>
            <w:hideMark/>
          </w:tcPr>
          <w:p w14:paraId="59132C5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nickel at work or through their occupation</w:t>
            </w:r>
          </w:p>
        </w:tc>
        <w:tc>
          <w:tcPr>
            <w:tcW w:w="3645" w:type="dxa"/>
            <w:tcMar>
              <w:top w:w="56" w:type="dxa"/>
              <w:left w:w="56" w:type="dxa"/>
              <w:bottom w:w="56" w:type="dxa"/>
              <w:right w:w="56" w:type="dxa"/>
            </w:tcMar>
            <w:hideMark/>
          </w:tcPr>
          <w:p w14:paraId="4F9A068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nickel</w:t>
            </w:r>
          </w:p>
        </w:tc>
      </w:tr>
      <w:tr w:rsidR="00D06B46" w:rsidRPr="00D06B46" w14:paraId="450D71E9" w14:textId="77777777" w:rsidTr="00D06B46">
        <w:trPr>
          <w:tblCellSpacing w:w="15" w:type="dxa"/>
        </w:trPr>
        <w:tc>
          <w:tcPr>
            <w:tcW w:w="0" w:type="auto"/>
            <w:tcMar>
              <w:top w:w="56" w:type="dxa"/>
              <w:left w:w="56" w:type="dxa"/>
              <w:bottom w:w="56" w:type="dxa"/>
              <w:right w:w="56" w:type="dxa"/>
            </w:tcMar>
            <w:hideMark/>
          </w:tcPr>
          <w:p w14:paraId="588D7ED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47482E90"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372F1B16"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252EED7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polycyclic aromatic hydrocarbons</w:t>
            </w:r>
          </w:p>
        </w:tc>
        <w:tc>
          <w:tcPr>
            <w:tcW w:w="3605" w:type="dxa"/>
            <w:tcMar>
              <w:top w:w="56" w:type="dxa"/>
              <w:left w:w="56" w:type="dxa"/>
              <w:bottom w:w="56" w:type="dxa"/>
              <w:right w:w="56" w:type="dxa"/>
            </w:tcMar>
            <w:hideMark/>
          </w:tcPr>
          <w:p w14:paraId="1459ADB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polycyclic aromatic hydrocarbons at work or through their occupation</w:t>
            </w:r>
          </w:p>
        </w:tc>
        <w:tc>
          <w:tcPr>
            <w:tcW w:w="3645" w:type="dxa"/>
            <w:tcMar>
              <w:top w:w="56" w:type="dxa"/>
              <w:left w:w="56" w:type="dxa"/>
              <w:bottom w:w="56" w:type="dxa"/>
              <w:right w:w="56" w:type="dxa"/>
            </w:tcMar>
            <w:hideMark/>
          </w:tcPr>
          <w:p w14:paraId="4F6A7FD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polycyclic aromatic hydrocarbons</w:t>
            </w:r>
          </w:p>
        </w:tc>
      </w:tr>
      <w:tr w:rsidR="00D06B46" w:rsidRPr="00D06B46" w14:paraId="12F5DBEC" w14:textId="77777777" w:rsidTr="00D06B46">
        <w:trPr>
          <w:tblCellSpacing w:w="15" w:type="dxa"/>
        </w:trPr>
        <w:tc>
          <w:tcPr>
            <w:tcW w:w="0" w:type="auto"/>
            <w:tcMar>
              <w:top w:w="56" w:type="dxa"/>
              <w:left w:w="56" w:type="dxa"/>
              <w:bottom w:w="56" w:type="dxa"/>
              <w:right w:w="56" w:type="dxa"/>
            </w:tcMar>
            <w:hideMark/>
          </w:tcPr>
          <w:p w14:paraId="2FD7CB6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04A37E33"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0F2D1218"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4F1BD29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silica</w:t>
            </w:r>
          </w:p>
        </w:tc>
        <w:tc>
          <w:tcPr>
            <w:tcW w:w="3605" w:type="dxa"/>
            <w:tcMar>
              <w:top w:w="56" w:type="dxa"/>
              <w:left w:w="56" w:type="dxa"/>
              <w:bottom w:w="56" w:type="dxa"/>
              <w:right w:w="56" w:type="dxa"/>
            </w:tcMar>
            <w:hideMark/>
          </w:tcPr>
          <w:p w14:paraId="796B140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silica at work or through their occupation</w:t>
            </w:r>
          </w:p>
        </w:tc>
        <w:tc>
          <w:tcPr>
            <w:tcW w:w="3645" w:type="dxa"/>
            <w:tcMar>
              <w:top w:w="56" w:type="dxa"/>
              <w:left w:w="56" w:type="dxa"/>
              <w:bottom w:w="56" w:type="dxa"/>
              <w:right w:w="56" w:type="dxa"/>
            </w:tcMar>
            <w:hideMark/>
          </w:tcPr>
          <w:p w14:paraId="1BECC96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silica</w:t>
            </w:r>
          </w:p>
        </w:tc>
      </w:tr>
      <w:tr w:rsidR="00D06B46" w:rsidRPr="00D06B46" w14:paraId="0EC5268E" w14:textId="77777777" w:rsidTr="00D06B46">
        <w:trPr>
          <w:tblCellSpacing w:w="15" w:type="dxa"/>
        </w:trPr>
        <w:tc>
          <w:tcPr>
            <w:tcW w:w="0" w:type="auto"/>
            <w:tcMar>
              <w:top w:w="56" w:type="dxa"/>
              <w:left w:w="56" w:type="dxa"/>
              <w:bottom w:w="56" w:type="dxa"/>
              <w:right w:w="56" w:type="dxa"/>
            </w:tcMar>
            <w:hideMark/>
          </w:tcPr>
          <w:p w14:paraId="7D02989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67A3D67A"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1368046D"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187E97F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Occupational exposure to </w:t>
            </w:r>
            <w:proofErr w:type="spellStart"/>
            <w:r w:rsidRPr="00D06B46">
              <w:rPr>
                <w:rFonts w:ascii="Times New Roman" w:eastAsia="Times New Roman" w:hAnsi="Times New Roman" w:cs="Times New Roman"/>
                <w:kern w:val="0"/>
                <w14:ligatures w14:val="none"/>
              </w:rPr>
              <w:t>sulphuric</w:t>
            </w:r>
            <w:proofErr w:type="spellEnd"/>
            <w:r w:rsidRPr="00D06B46">
              <w:rPr>
                <w:rFonts w:ascii="Times New Roman" w:eastAsia="Times New Roman" w:hAnsi="Times New Roman" w:cs="Times New Roman"/>
                <w:kern w:val="0"/>
                <w14:ligatures w14:val="none"/>
              </w:rPr>
              <w:t xml:space="preserve"> acid</w:t>
            </w:r>
          </w:p>
        </w:tc>
        <w:tc>
          <w:tcPr>
            <w:tcW w:w="3605" w:type="dxa"/>
            <w:tcMar>
              <w:top w:w="56" w:type="dxa"/>
              <w:left w:w="56" w:type="dxa"/>
              <w:bottom w:w="56" w:type="dxa"/>
              <w:right w:w="56" w:type="dxa"/>
            </w:tcMar>
            <w:hideMark/>
          </w:tcPr>
          <w:p w14:paraId="4B99052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Proportion of the population ever exposed to </w:t>
            </w:r>
            <w:proofErr w:type="spellStart"/>
            <w:r w:rsidRPr="00D06B46">
              <w:rPr>
                <w:rFonts w:ascii="Times New Roman" w:eastAsia="Times New Roman" w:hAnsi="Times New Roman" w:cs="Times New Roman"/>
                <w:kern w:val="0"/>
                <w14:ligatures w14:val="none"/>
              </w:rPr>
              <w:t>sulphuric</w:t>
            </w:r>
            <w:proofErr w:type="spellEnd"/>
            <w:r w:rsidRPr="00D06B46">
              <w:rPr>
                <w:rFonts w:ascii="Times New Roman" w:eastAsia="Times New Roman" w:hAnsi="Times New Roman" w:cs="Times New Roman"/>
                <w:kern w:val="0"/>
                <w14:ligatures w14:val="none"/>
              </w:rPr>
              <w:t xml:space="preserve"> acid at work or through their occupation</w:t>
            </w:r>
          </w:p>
        </w:tc>
        <w:tc>
          <w:tcPr>
            <w:tcW w:w="3645" w:type="dxa"/>
            <w:tcMar>
              <w:top w:w="56" w:type="dxa"/>
              <w:left w:w="56" w:type="dxa"/>
              <w:bottom w:w="56" w:type="dxa"/>
              <w:right w:w="56" w:type="dxa"/>
            </w:tcMar>
            <w:hideMark/>
          </w:tcPr>
          <w:p w14:paraId="4867468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No occupational exposure to </w:t>
            </w:r>
            <w:proofErr w:type="spellStart"/>
            <w:r w:rsidRPr="00D06B46">
              <w:rPr>
                <w:rFonts w:ascii="Times New Roman" w:eastAsia="Times New Roman" w:hAnsi="Times New Roman" w:cs="Times New Roman"/>
                <w:kern w:val="0"/>
                <w14:ligatures w14:val="none"/>
              </w:rPr>
              <w:t>sulphuric</w:t>
            </w:r>
            <w:proofErr w:type="spellEnd"/>
            <w:r w:rsidRPr="00D06B46">
              <w:rPr>
                <w:rFonts w:ascii="Times New Roman" w:eastAsia="Times New Roman" w:hAnsi="Times New Roman" w:cs="Times New Roman"/>
                <w:kern w:val="0"/>
                <w14:ligatures w14:val="none"/>
              </w:rPr>
              <w:t xml:space="preserve"> acid</w:t>
            </w:r>
          </w:p>
        </w:tc>
      </w:tr>
      <w:tr w:rsidR="00D06B46" w:rsidRPr="00D06B46" w14:paraId="357EEF5A" w14:textId="77777777" w:rsidTr="00D06B46">
        <w:trPr>
          <w:tblCellSpacing w:w="15" w:type="dxa"/>
        </w:trPr>
        <w:tc>
          <w:tcPr>
            <w:tcW w:w="0" w:type="auto"/>
            <w:tcMar>
              <w:top w:w="56" w:type="dxa"/>
              <w:left w:w="56" w:type="dxa"/>
              <w:bottom w:w="56" w:type="dxa"/>
              <w:right w:w="56" w:type="dxa"/>
            </w:tcMar>
            <w:hideMark/>
          </w:tcPr>
          <w:p w14:paraId="3C64CC5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0200B6CC"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70716D9F"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4A8771D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exposure to trichloroethylene</w:t>
            </w:r>
          </w:p>
        </w:tc>
        <w:tc>
          <w:tcPr>
            <w:tcW w:w="3605" w:type="dxa"/>
            <w:tcMar>
              <w:top w:w="56" w:type="dxa"/>
              <w:left w:w="56" w:type="dxa"/>
              <w:bottom w:w="56" w:type="dxa"/>
              <w:right w:w="56" w:type="dxa"/>
            </w:tcMar>
            <w:hideMark/>
          </w:tcPr>
          <w:p w14:paraId="4927001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trichloroethylene at work or through their occupation</w:t>
            </w:r>
          </w:p>
        </w:tc>
        <w:tc>
          <w:tcPr>
            <w:tcW w:w="3645" w:type="dxa"/>
            <w:tcMar>
              <w:top w:w="56" w:type="dxa"/>
              <w:left w:w="56" w:type="dxa"/>
              <w:bottom w:w="56" w:type="dxa"/>
              <w:right w:w="56" w:type="dxa"/>
            </w:tcMar>
            <w:hideMark/>
          </w:tcPr>
          <w:p w14:paraId="783AB0D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trichloroethylene</w:t>
            </w:r>
          </w:p>
        </w:tc>
      </w:tr>
      <w:tr w:rsidR="00D06B46" w:rsidRPr="00D06B46" w14:paraId="5B541ED1" w14:textId="77777777" w:rsidTr="00D06B46">
        <w:trPr>
          <w:tblCellSpacing w:w="15" w:type="dxa"/>
        </w:trPr>
        <w:tc>
          <w:tcPr>
            <w:tcW w:w="0" w:type="auto"/>
            <w:tcMar>
              <w:top w:w="56" w:type="dxa"/>
              <w:left w:w="56" w:type="dxa"/>
              <w:bottom w:w="56" w:type="dxa"/>
              <w:right w:w="56" w:type="dxa"/>
            </w:tcMar>
            <w:hideMark/>
          </w:tcPr>
          <w:p w14:paraId="61B1285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64654082"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1B68B03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asthmagens</w:t>
            </w:r>
          </w:p>
        </w:tc>
        <w:tc>
          <w:tcPr>
            <w:tcW w:w="3605" w:type="dxa"/>
            <w:tcMar>
              <w:top w:w="56" w:type="dxa"/>
              <w:left w:w="56" w:type="dxa"/>
              <w:bottom w:w="56" w:type="dxa"/>
              <w:right w:w="56" w:type="dxa"/>
            </w:tcMar>
            <w:hideMark/>
          </w:tcPr>
          <w:p w14:paraId="1A3C100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currently exposed to asthmagens at work or through their occupation</w:t>
            </w:r>
          </w:p>
        </w:tc>
        <w:tc>
          <w:tcPr>
            <w:tcW w:w="3645" w:type="dxa"/>
            <w:tcMar>
              <w:top w:w="56" w:type="dxa"/>
              <w:left w:w="56" w:type="dxa"/>
              <w:bottom w:w="56" w:type="dxa"/>
              <w:right w:w="56" w:type="dxa"/>
            </w:tcMar>
            <w:hideMark/>
          </w:tcPr>
          <w:p w14:paraId="0D3FE0A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Background </w:t>
            </w:r>
            <w:proofErr w:type="spellStart"/>
            <w:r w:rsidRPr="00D06B46">
              <w:rPr>
                <w:rFonts w:ascii="Times New Roman" w:eastAsia="Times New Roman" w:hAnsi="Times New Roman" w:cs="Times New Roman"/>
                <w:kern w:val="0"/>
                <w14:ligatures w14:val="none"/>
              </w:rPr>
              <w:t>asthmagen</w:t>
            </w:r>
            <w:proofErr w:type="spellEnd"/>
            <w:r w:rsidRPr="00D06B46">
              <w:rPr>
                <w:rFonts w:ascii="Times New Roman" w:eastAsia="Times New Roman" w:hAnsi="Times New Roman" w:cs="Times New Roman"/>
                <w:kern w:val="0"/>
                <w14:ligatures w14:val="none"/>
              </w:rPr>
              <w:t xml:space="preserve"> exposures</w:t>
            </w:r>
          </w:p>
        </w:tc>
      </w:tr>
      <w:tr w:rsidR="00D06B46" w:rsidRPr="00D06B46" w14:paraId="11621379" w14:textId="77777777" w:rsidTr="00D06B46">
        <w:trPr>
          <w:tblCellSpacing w:w="15" w:type="dxa"/>
        </w:trPr>
        <w:tc>
          <w:tcPr>
            <w:tcW w:w="0" w:type="auto"/>
            <w:tcMar>
              <w:top w:w="56" w:type="dxa"/>
              <w:left w:w="56" w:type="dxa"/>
              <w:bottom w:w="56" w:type="dxa"/>
              <w:right w:w="56" w:type="dxa"/>
            </w:tcMar>
            <w:hideMark/>
          </w:tcPr>
          <w:p w14:paraId="452F2CF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lastRenderedPageBreak/>
              <w:t>3</w:t>
            </w:r>
          </w:p>
        </w:tc>
        <w:tc>
          <w:tcPr>
            <w:tcW w:w="0" w:type="auto"/>
            <w:tcMar>
              <w:top w:w="56" w:type="dxa"/>
              <w:left w:w="56" w:type="dxa"/>
              <w:bottom w:w="56" w:type="dxa"/>
              <w:right w:w="56" w:type="dxa"/>
            </w:tcMar>
            <w:hideMark/>
          </w:tcPr>
          <w:p w14:paraId="3DDCCEEE"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5AFB5A1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particulate matter, gases, and fumes</w:t>
            </w:r>
          </w:p>
        </w:tc>
        <w:tc>
          <w:tcPr>
            <w:tcW w:w="3605" w:type="dxa"/>
            <w:tcMar>
              <w:top w:w="56" w:type="dxa"/>
              <w:left w:w="56" w:type="dxa"/>
              <w:bottom w:w="56" w:type="dxa"/>
              <w:right w:w="56" w:type="dxa"/>
            </w:tcMar>
            <w:hideMark/>
          </w:tcPr>
          <w:p w14:paraId="77BB6E0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particulates, gases, or fumes at work or through their occupation</w:t>
            </w:r>
          </w:p>
        </w:tc>
        <w:tc>
          <w:tcPr>
            <w:tcW w:w="3645" w:type="dxa"/>
            <w:tcMar>
              <w:top w:w="56" w:type="dxa"/>
              <w:left w:w="56" w:type="dxa"/>
              <w:bottom w:w="56" w:type="dxa"/>
              <w:right w:w="56" w:type="dxa"/>
            </w:tcMar>
            <w:hideMark/>
          </w:tcPr>
          <w:p w14:paraId="6C790EA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occupational exposure to particulates, gases, or fumes</w:t>
            </w:r>
          </w:p>
        </w:tc>
      </w:tr>
      <w:tr w:rsidR="00D06B46" w:rsidRPr="00D06B46" w14:paraId="4019B133" w14:textId="77777777" w:rsidTr="00D06B46">
        <w:trPr>
          <w:tblCellSpacing w:w="15" w:type="dxa"/>
        </w:trPr>
        <w:tc>
          <w:tcPr>
            <w:tcW w:w="0" w:type="auto"/>
            <w:tcMar>
              <w:top w:w="56" w:type="dxa"/>
              <w:left w:w="56" w:type="dxa"/>
              <w:bottom w:w="56" w:type="dxa"/>
              <w:right w:w="56" w:type="dxa"/>
            </w:tcMar>
            <w:hideMark/>
          </w:tcPr>
          <w:p w14:paraId="7A91BAC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43B782D7"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7223596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noise</w:t>
            </w:r>
          </w:p>
        </w:tc>
        <w:tc>
          <w:tcPr>
            <w:tcW w:w="3605" w:type="dxa"/>
            <w:tcMar>
              <w:top w:w="56" w:type="dxa"/>
              <w:left w:w="56" w:type="dxa"/>
              <w:bottom w:w="56" w:type="dxa"/>
              <w:right w:w="56" w:type="dxa"/>
            </w:tcMar>
            <w:hideMark/>
          </w:tcPr>
          <w:p w14:paraId="512ABD4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exposed to noise greater than 85 decibels at work or through their occupation</w:t>
            </w:r>
          </w:p>
        </w:tc>
        <w:tc>
          <w:tcPr>
            <w:tcW w:w="3645" w:type="dxa"/>
            <w:tcMar>
              <w:top w:w="56" w:type="dxa"/>
              <w:left w:w="56" w:type="dxa"/>
              <w:bottom w:w="56" w:type="dxa"/>
              <w:right w:w="56" w:type="dxa"/>
            </w:tcMar>
            <w:hideMark/>
          </w:tcPr>
          <w:p w14:paraId="6FAD4C5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Background noise exposure</w:t>
            </w:r>
          </w:p>
        </w:tc>
      </w:tr>
      <w:tr w:rsidR="00D06B46" w:rsidRPr="00D06B46" w14:paraId="50BB42EE" w14:textId="77777777" w:rsidTr="00D06B46">
        <w:trPr>
          <w:tblCellSpacing w:w="15" w:type="dxa"/>
        </w:trPr>
        <w:tc>
          <w:tcPr>
            <w:tcW w:w="0" w:type="auto"/>
            <w:tcMar>
              <w:top w:w="56" w:type="dxa"/>
              <w:left w:w="56" w:type="dxa"/>
              <w:bottom w:w="56" w:type="dxa"/>
              <w:right w:w="56" w:type="dxa"/>
            </w:tcMar>
            <w:hideMark/>
          </w:tcPr>
          <w:p w14:paraId="34AFD2B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58335A25"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51628F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injuries</w:t>
            </w:r>
          </w:p>
        </w:tc>
        <w:tc>
          <w:tcPr>
            <w:tcW w:w="3605" w:type="dxa"/>
            <w:tcMar>
              <w:top w:w="56" w:type="dxa"/>
              <w:left w:w="56" w:type="dxa"/>
              <w:bottom w:w="56" w:type="dxa"/>
              <w:right w:w="56" w:type="dxa"/>
            </w:tcMar>
            <w:hideMark/>
          </w:tcPr>
          <w:p w14:paraId="7E2E584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at risk to injuries related to work or through their occupation</w:t>
            </w:r>
          </w:p>
        </w:tc>
        <w:tc>
          <w:tcPr>
            <w:tcW w:w="3645" w:type="dxa"/>
            <w:tcMar>
              <w:top w:w="56" w:type="dxa"/>
              <w:left w:w="56" w:type="dxa"/>
              <w:bottom w:w="56" w:type="dxa"/>
              <w:right w:w="56" w:type="dxa"/>
            </w:tcMar>
            <w:hideMark/>
          </w:tcPr>
          <w:p w14:paraId="52FE9A9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The rate of injury deaths per 100 000 person-years is zero</w:t>
            </w:r>
          </w:p>
        </w:tc>
      </w:tr>
      <w:tr w:rsidR="00D06B46" w:rsidRPr="00D06B46" w14:paraId="1D09ABD1" w14:textId="77777777" w:rsidTr="00D06B46">
        <w:trPr>
          <w:tblCellSpacing w:w="15" w:type="dxa"/>
        </w:trPr>
        <w:tc>
          <w:tcPr>
            <w:tcW w:w="0" w:type="auto"/>
            <w:tcMar>
              <w:top w:w="56" w:type="dxa"/>
              <w:left w:w="56" w:type="dxa"/>
              <w:bottom w:w="56" w:type="dxa"/>
              <w:right w:w="56" w:type="dxa"/>
            </w:tcMar>
            <w:hideMark/>
          </w:tcPr>
          <w:p w14:paraId="3B038F8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12A643E7"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0F87B33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Occupational ergonomic factors</w:t>
            </w:r>
          </w:p>
        </w:tc>
        <w:tc>
          <w:tcPr>
            <w:tcW w:w="3605" w:type="dxa"/>
            <w:tcMar>
              <w:top w:w="56" w:type="dxa"/>
              <w:left w:w="56" w:type="dxa"/>
              <w:bottom w:w="56" w:type="dxa"/>
              <w:right w:w="56" w:type="dxa"/>
            </w:tcMar>
            <w:hideMark/>
          </w:tcPr>
          <w:p w14:paraId="63F1E9B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who are exposed to ergonomic risk factors for low back pain at work or through their occupation</w:t>
            </w:r>
          </w:p>
        </w:tc>
        <w:tc>
          <w:tcPr>
            <w:tcW w:w="3645" w:type="dxa"/>
            <w:tcMar>
              <w:top w:w="56" w:type="dxa"/>
              <w:left w:w="56" w:type="dxa"/>
              <w:bottom w:w="56" w:type="dxa"/>
              <w:right w:w="56" w:type="dxa"/>
            </w:tcMar>
            <w:hideMark/>
          </w:tcPr>
          <w:p w14:paraId="52A0E56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All individuals have the ergonomic factors of clerical and related workers</w:t>
            </w:r>
          </w:p>
        </w:tc>
      </w:tr>
      <w:tr w:rsidR="00D06B46" w:rsidRPr="00D06B46" w14:paraId="1D2FC345" w14:textId="77777777" w:rsidTr="00D06B46">
        <w:trPr>
          <w:tblCellSpacing w:w="15" w:type="dxa"/>
        </w:trPr>
        <w:tc>
          <w:tcPr>
            <w:tcW w:w="0" w:type="auto"/>
            <w:tcMar>
              <w:top w:w="56" w:type="dxa"/>
              <w:left w:w="56" w:type="dxa"/>
              <w:bottom w:w="56" w:type="dxa"/>
              <w:right w:w="56" w:type="dxa"/>
            </w:tcMar>
            <w:hideMark/>
          </w:tcPr>
          <w:p w14:paraId="171139D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1</w:t>
            </w:r>
          </w:p>
        </w:tc>
        <w:tc>
          <w:tcPr>
            <w:tcW w:w="0" w:type="auto"/>
            <w:gridSpan w:val="3"/>
            <w:tcMar>
              <w:top w:w="56" w:type="dxa"/>
              <w:left w:w="56" w:type="dxa"/>
              <w:bottom w:w="56" w:type="dxa"/>
              <w:right w:w="56" w:type="dxa"/>
            </w:tcMar>
            <w:hideMark/>
          </w:tcPr>
          <w:p w14:paraId="0AE4701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Behavioural risks</w:t>
            </w:r>
          </w:p>
        </w:tc>
        <w:tc>
          <w:tcPr>
            <w:tcW w:w="3605" w:type="dxa"/>
            <w:tcMar>
              <w:top w:w="56" w:type="dxa"/>
              <w:left w:w="56" w:type="dxa"/>
              <w:bottom w:w="56" w:type="dxa"/>
              <w:right w:w="56" w:type="dxa"/>
            </w:tcMar>
            <w:hideMark/>
          </w:tcPr>
          <w:p w14:paraId="78AD797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321A039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5BE15287" w14:textId="77777777" w:rsidTr="00D06B46">
        <w:trPr>
          <w:tblCellSpacing w:w="15" w:type="dxa"/>
        </w:trPr>
        <w:tc>
          <w:tcPr>
            <w:tcW w:w="0" w:type="auto"/>
            <w:tcMar>
              <w:top w:w="56" w:type="dxa"/>
              <w:left w:w="56" w:type="dxa"/>
              <w:bottom w:w="56" w:type="dxa"/>
              <w:right w:w="56" w:type="dxa"/>
            </w:tcMar>
            <w:hideMark/>
          </w:tcPr>
          <w:p w14:paraId="4C62FA1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0C2238C1"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17E7EE2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Child and maternal malnutrition</w:t>
            </w:r>
          </w:p>
        </w:tc>
        <w:tc>
          <w:tcPr>
            <w:tcW w:w="3605" w:type="dxa"/>
            <w:tcMar>
              <w:top w:w="56" w:type="dxa"/>
              <w:left w:w="56" w:type="dxa"/>
              <w:bottom w:w="56" w:type="dxa"/>
              <w:right w:w="56" w:type="dxa"/>
            </w:tcMar>
            <w:hideMark/>
          </w:tcPr>
          <w:p w14:paraId="37A7FDD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42C14F3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36170760" w14:textId="77777777" w:rsidTr="00D06B46">
        <w:trPr>
          <w:tblCellSpacing w:w="15" w:type="dxa"/>
        </w:trPr>
        <w:tc>
          <w:tcPr>
            <w:tcW w:w="0" w:type="auto"/>
            <w:tcMar>
              <w:top w:w="56" w:type="dxa"/>
              <w:left w:w="56" w:type="dxa"/>
              <w:bottom w:w="56" w:type="dxa"/>
              <w:right w:w="56" w:type="dxa"/>
            </w:tcMar>
            <w:hideMark/>
          </w:tcPr>
          <w:p w14:paraId="6E27F97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E9AC7DE"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62F23D9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Suboptimal breastfeeding</w:t>
            </w:r>
          </w:p>
        </w:tc>
        <w:tc>
          <w:tcPr>
            <w:tcW w:w="3605" w:type="dxa"/>
            <w:tcMar>
              <w:top w:w="56" w:type="dxa"/>
              <w:left w:w="56" w:type="dxa"/>
              <w:bottom w:w="56" w:type="dxa"/>
              <w:right w:w="56" w:type="dxa"/>
            </w:tcMar>
            <w:hideMark/>
          </w:tcPr>
          <w:p w14:paraId="02313DD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361F451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w:t>
            </w:r>
          </w:p>
        </w:tc>
      </w:tr>
      <w:tr w:rsidR="00D06B46" w:rsidRPr="00D06B46" w14:paraId="12659E3F" w14:textId="77777777" w:rsidTr="00D06B46">
        <w:trPr>
          <w:tblCellSpacing w:w="15" w:type="dxa"/>
        </w:trPr>
        <w:tc>
          <w:tcPr>
            <w:tcW w:w="0" w:type="auto"/>
            <w:tcMar>
              <w:top w:w="56" w:type="dxa"/>
              <w:left w:w="56" w:type="dxa"/>
              <w:bottom w:w="56" w:type="dxa"/>
              <w:right w:w="56" w:type="dxa"/>
            </w:tcMar>
            <w:hideMark/>
          </w:tcPr>
          <w:p w14:paraId="2C82C0F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2F31D4CB"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25BD3C66"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67C2E7E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Non-exclusive breastfeeding</w:t>
            </w:r>
          </w:p>
        </w:tc>
        <w:tc>
          <w:tcPr>
            <w:tcW w:w="3605" w:type="dxa"/>
            <w:tcMar>
              <w:top w:w="56" w:type="dxa"/>
              <w:left w:w="56" w:type="dxa"/>
              <w:bottom w:w="56" w:type="dxa"/>
              <w:right w:w="56" w:type="dxa"/>
            </w:tcMar>
            <w:hideMark/>
          </w:tcPr>
          <w:p w14:paraId="3B4844E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children younger than 6 months who receive predominant, partial, or no breastfeeding</w:t>
            </w:r>
          </w:p>
        </w:tc>
        <w:tc>
          <w:tcPr>
            <w:tcW w:w="3645" w:type="dxa"/>
            <w:tcMar>
              <w:top w:w="56" w:type="dxa"/>
              <w:left w:w="56" w:type="dxa"/>
              <w:bottom w:w="56" w:type="dxa"/>
              <w:right w:w="56" w:type="dxa"/>
            </w:tcMar>
            <w:hideMark/>
          </w:tcPr>
          <w:p w14:paraId="5E87B7D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All children are exclusively breastfed for first 6 months of life</w:t>
            </w:r>
          </w:p>
        </w:tc>
      </w:tr>
      <w:tr w:rsidR="00D06B46" w:rsidRPr="00D06B46" w14:paraId="2153C134" w14:textId="77777777" w:rsidTr="00D06B46">
        <w:trPr>
          <w:tblCellSpacing w:w="15" w:type="dxa"/>
        </w:trPr>
        <w:tc>
          <w:tcPr>
            <w:tcW w:w="0" w:type="auto"/>
            <w:tcMar>
              <w:top w:w="56" w:type="dxa"/>
              <w:left w:w="56" w:type="dxa"/>
              <w:bottom w:w="56" w:type="dxa"/>
              <w:right w:w="56" w:type="dxa"/>
            </w:tcMar>
            <w:hideMark/>
          </w:tcPr>
          <w:p w14:paraId="5F749F5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lastRenderedPageBreak/>
              <w:t>4</w:t>
            </w:r>
          </w:p>
        </w:tc>
        <w:tc>
          <w:tcPr>
            <w:tcW w:w="0" w:type="auto"/>
            <w:tcMar>
              <w:top w:w="56" w:type="dxa"/>
              <w:left w:w="56" w:type="dxa"/>
              <w:bottom w:w="56" w:type="dxa"/>
              <w:right w:w="56" w:type="dxa"/>
            </w:tcMar>
            <w:hideMark/>
          </w:tcPr>
          <w:p w14:paraId="1811BF40"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7BE2AA47"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41AB503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Discontinued breastfeeding</w:t>
            </w:r>
          </w:p>
        </w:tc>
        <w:tc>
          <w:tcPr>
            <w:tcW w:w="3605" w:type="dxa"/>
            <w:tcMar>
              <w:top w:w="56" w:type="dxa"/>
              <w:left w:w="56" w:type="dxa"/>
              <w:bottom w:w="56" w:type="dxa"/>
              <w:right w:w="56" w:type="dxa"/>
            </w:tcMar>
            <w:hideMark/>
          </w:tcPr>
          <w:p w14:paraId="64303EF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children aged 6–23 months who do not receive any breast milk</w:t>
            </w:r>
          </w:p>
        </w:tc>
        <w:tc>
          <w:tcPr>
            <w:tcW w:w="3645" w:type="dxa"/>
            <w:tcMar>
              <w:top w:w="56" w:type="dxa"/>
              <w:left w:w="56" w:type="dxa"/>
              <w:bottom w:w="56" w:type="dxa"/>
              <w:right w:w="56" w:type="dxa"/>
            </w:tcMar>
            <w:hideMark/>
          </w:tcPr>
          <w:p w14:paraId="29EB86E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All children continue to receive breast milk until 2 years of age</w:t>
            </w:r>
          </w:p>
        </w:tc>
      </w:tr>
      <w:tr w:rsidR="00D06B46" w:rsidRPr="00D06B46" w14:paraId="12812745" w14:textId="77777777" w:rsidTr="00D06B46">
        <w:trPr>
          <w:tblCellSpacing w:w="15" w:type="dxa"/>
        </w:trPr>
        <w:tc>
          <w:tcPr>
            <w:tcW w:w="0" w:type="auto"/>
            <w:tcMar>
              <w:top w:w="56" w:type="dxa"/>
              <w:left w:w="56" w:type="dxa"/>
              <w:bottom w:w="56" w:type="dxa"/>
              <w:right w:w="56" w:type="dxa"/>
            </w:tcMar>
            <w:hideMark/>
          </w:tcPr>
          <w:p w14:paraId="2527ABB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7DF2DAA0"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68BA1BD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Child growth failure</w:t>
            </w:r>
          </w:p>
        </w:tc>
        <w:tc>
          <w:tcPr>
            <w:tcW w:w="3605" w:type="dxa"/>
            <w:tcMar>
              <w:top w:w="56" w:type="dxa"/>
              <w:left w:w="56" w:type="dxa"/>
              <w:bottom w:w="56" w:type="dxa"/>
              <w:right w:w="56" w:type="dxa"/>
            </w:tcMar>
            <w:hideMark/>
          </w:tcPr>
          <w:p w14:paraId="46CB00B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74E73EC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w:t>
            </w:r>
          </w:p>
        </w:tc>
      </w:tr>
      <w:tr w:rsidR="00D06B46" w:rsidRPr="00D06B46" w14:paraId="1B665947" w14:textId="77777777" w:rsidTr="00D06B46">
        <w:trPr>
          <w:tblCellSpacing w:w="15" w:type="dxa"/>
        </w:trPr>
        <w:tc>
          <w:tcPr>
            <w:tcW w:w="0" w:type="auto"/>
            <w:tcMar>
              <w:top w:w="56" w:type="dxa"/>
              <w:left w:w="56" w:type="dxa"/>
              <w:bottom w:w="56" w:type="dxa"/>
              <w:right w:w="56" w:type="dxa"/>
            </w:tcMar>
            <w:hideMark/>
          </w:tcPr>
          <w:p w14:paraId="7FCC319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57968E05"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45D349E1"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55C6247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Child underweight</w:t>
            </w:r>
          </w:p>
        </w:tc>
        <w:tc>
          <w:tcPr>
            <w:tcW w:w="3605" w:type="dxa"/>
            <w:tcMar>
              <w:top w:w="56" w:type="dxa"/>
              <w:left w:w="56" w:type="dxa"/>
              <w:bottom w:w="56" w:type="dxa"/>
              <w:right w:w="56" w:type="dxa"/>
            </w:tcMar>
            <w:hideMark/>
          </w:tcPr>
          <w:p w14:paraId="2D70C58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children ≥3 SDs, 2–3 SDs, and 1–2 SDs lower than the WHO 2006 standard weight-for-age curve</w:t>
            </w:r>
          </w:p>
        </w:tc>
        <w:tc>
          <w:tcPr>
            <w:tcW w:w="3645" w:type="dxa"/>
            <w:tcMar>
              <w:top w:w="56" w:type="dxa"/>
              <w:left w:w="56" w:type="dxa"/>
              <w:bottom w:w="56" w:type="dxa"/>
              <w:right w:w="56" w:type="dxa"/>
            </w:tcMar>
            <w:hideMark/>
          </w:tcPr>
          <w:p w14:paraId="5A5610D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All children are &lt;1 SD below the WHO 2006 standard weight-for-age curve</w:t>
            </w:r>
          </w:p>
        </w:tc>
      </w:tr>
      <w:tr w:rsidR="00D06B46" w:rsidRPr="00D06B46" w14:paraId="33E63F09" w14:textId="77777777" w:rsidTr="00D06B46">
        <w:trPr>
          <w:tblCellSpacing w:w="15" w:type="dxa"/>
        </w:trPr>
        <w:tc>
          <w:tcPr>
            <w:tcW w:w="0" w:type="auto"/>
            <w:tcMar>
              <w:top w:w="56" w:type="dxa"/>
              <w:left w:w="56" w:type="dxa"/>
              <w:bottom w:w="56" w:type="dxa"/>
              <w:right w:w="56" w:type="dxa"/>
            </w:tcMar>
            <w:hideMark/>
          </w:tcPr>
          <w:p w14:paraId="407BAA7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6347A7D7"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4EFED2AC"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20E4FC1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Child wasting</w:t>
            </w:r>
          </w:p>
        </w:tc>
        <w:tc>
          <w:tcPr>
            <w:tcW w:w="3605" w:type="dxa"/>
            <w:tcMar>
              <w:top w:w="56" w:type="dxa"/>
              <w:left w:w="56" w:type="dxa"/>
              <w:bottom w:w="56" w:type="dxa"/>
              <w:right w:w="56" w:type="dxa"/>
            </w:tcMar>
            <w:hideMark/>
          </w:tcPr>
          <w:p w14:paraId="0BA7852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children ≥3 SDs, 2–3 SDs, and 1–2 SDs lower than the WHO 2006 standard weight-for-length curve</w:t>
            </w:r>
          </w:p>
        </w:tc>
        <w:tc>
          <w:tcPr>
            <w:tcW w:w="3645" w:type="dxa"/>
            <w:tcMar>
              <w:top w:w="56" w:type="dxa"/>
              <w:left w:w="56" w:type="dxa"/>
              <w:bottom w:w="56" w:type="dxa"/>
              <w:right w:w="56" w:type="dxa"/>
            </w:tcMar>
            <w:hideMark/>
          </w:tcPr>
          <w:p w14:paraId="34ACD72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All children are &lt;1 SD below the WHO 2006 standard weight-for-height curve</w:t>
            </w:r>
          </w:p>
        </w:tc>
      </w:tr>
      <w:tr w:rsidR="00D06B46" w:rsidRPr="00D06B46" w14:paraId="6FF523A2" w14:textId="77777777" w:rsidTr="00D06B46">
        <w:trPr>
          <w:tblCellSpacing w:w="15" w:type="dxa"/>
        </w:trPr>
        <w:tc>
          <w:tcPr>
            <w:tcW w:w="0" w:type="auto"/>
            <w:tcMar>
              <w:top w:w="56" w:type="dxa"/>
              <w:left w:w="56" w:type="dxa"/>
              <w:bottom w:w="56" w:type="dxa"/>
              <w:right w:w="56" w:type="dxa"/>
            </w:tcMar>
            <w:hideMark/>
          </w:tcPr>
          <w:p w14:paraId="230CF9D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43DA529A"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299FA414"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6C666DB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Child stunting</w:t>
            </w:r>
          </w:p>
        </w:tc>
        <w:tc>
          <w:tcPr>
            <w:tcW w:w="3605" w:type="dxa"/>
            <w:tcMar>
              <w:top w:w="56" w:type="dxa"/>
              <w:left w:w="56" w:type="dxa"/>
              <w:bottom w:w="56" w:type="dxa"/>
              <w:right w:w="56" w:type="dxa"/>
            </w:tcMar>
            <w:hideMark/>
          </w:tcPr>
          <w:p w14:paraId="308B757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children ≥3 SDs, 2–3 SDs, and 1–2 SDs lower than the WHO 2006 standard height-for-age curve</w:t>
            </w:r>
          </w:p>
        </w:tc>
        <w:tc>
          <w:tcPr>
            <w:tcW w:w="3645" w:type="dxa"/>
            <w:tcMar>
              <w:top w:w="56" w:type="dxa"/>
              <w:left w:w="56" w:type="dxa"/>
              <w:bottom w:w="56" w:type="dxa"/>
              <w:right w:w="56" w:type="dxa"/>
            </w:tcMar>
            <w:hideMark/>
          </w:tcPr>
          <w:p w14:paraId="7125755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All children are &lt;1 SD below the WHO 2006 standard height-for-age curve</w:t>
            </w:r>
          </w:p>
        </w:tc>
      </w:tr>
      <w:tr w:rsidR="00D06B46" w:rsidRPr="00D06B46" w14:paraId="1AE4CE90" w14:textId="77777777" w:rsidTr="00D06B46">
        <w:trPr>
          <w:tblCellSpacing w:w="15" w:type="dxa"/>
        </w:trPr>
        <w:tc>
          <w:tcPr>
            <w:tcW w:w="0" w:type="auto"/>
            <w:tcMar>
              <w:top w:w="56" w:type="dxa"/>
              <w:left w:w="56" w:type="dxa"/>
              <w:bottom w:w="56" w:type="dxa"/>
              <w:right w:w="56" w:type="dxa"/>
            </w:tcMar>
            <w:hideMark/>
          </w:tcPr>
          <w:p w14:paraId="2A65033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03987D7"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3A1CE65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Low birthweight and short gestation</w:t>
            </w:r>
          </w:p>
        </w:tc>
        <w:tc>
          <w:tcPr>
            <w:tcW w:w="3605" w:type="dxa"/>
            <w:tcMar>
              <w:top w:w="56" w:type="dxa"/>
              <w:left w:w="56" w:type="dxa"/>
              <w:bottom w:w="56" w:type="dxa"/>
              <w:right w:w="56" w:type="dxa"/>
            </w:tcMar>
            <w:hideMark/>
          </w:tcPr>
          <w:p w14:paraId="01BCBFD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w:t>
            </w:r>
          </w:p>
        </w:tc>
        <w:tc>
          <w:tcPr>
            <w:tcW w:w="3645" w:type="dxa"/>
            <w:tcMar>
              <w:top w:w="56" w:type="dxa"/>
              <w:left w:w="56" w:type="dxa"/>
              <w:bottom w:w="56" w:type="dxa"/>
              <w:right w:w="56" w:type="dxa"/>
            </w:tcMar>
            <w:hideMark/>
          </w:tcPr>
          <w:p w14:paraId="411974F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w:t>
            </w:r>
          </w:p>
        </w:tc>
      </w:tr>
      <w:tr w:rsidR="00D06B46" w:rsidRPr="00D06B46" w14:paraId="3D027BEA" w14:textId="77777777" w:rsidTr="00D06B46">
        <w:trPr>
          <w:tblCellSpacing w:w="15" w:type="dxa"/>
        </w:trPr>
        <w:tc>
          <w:tcPr>
            <w:tcW w:w="0" w:type="auto"/>
            <w:tcMar>
              <w:top w:w="56" w:type="dxa"/>
              <w:left w:w="56" w:type="dxa"/>
              <w:bottom w:w="56" w:type="dxa"/>
              <w:right w:w="56" w:type="dxa"/>
            </w:tcMar>
            <w:hideMark/>
          </w:tcPr>
          <w:p w14:paraId="56D52AA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4</w:t>
            </w:r>
          </w:p>
        </w:tc>
        <w:tc>
          <w:tcPr>
            <w:tcW w:w="0" w:type="auto"/>
            <w:tcMar>
              <w:top w:w="56" w:type="dxa"/>
              <w:left w:w="56" w:type="dxa"/>
              <w:bottom w:w="56" w:type="dxa"/>
              <w:right w:w="56" w:type="dxa"/>
            </w:tcMar>
            <w:hideMark/>
          </w:tcPr>
          <w:p w14:paraId="4AD309CF"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1D2C37AC"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4460836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Low birthweight for gestation</w:t>
            </w:r>
          </w:p>
        </w:tc>
        <w:tc>
          <w:tcPr>
            <w:tcW w:w="3605" w:type="dxa"/>
            <w:tcMar>
              <w:top w:w="56" w:type="dxa"/>
              <w:left w:w="56" w:type="dxa"/>
              <w:bottom w:w="56" w:type="dxa"/>
              <w:right w:w="56" w:type="dxa"/>
            </w:tcMar>
            <w:hideMark/>
          </w:tcPr>
          <w:p w14:paraId="459E9A1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births occurring in 2-week gestational age categories from [0–24) weeks to [40–42) weeks, for each 500-g birthweight category starting from [0–500) g to [4000–4500) g</w:t>
            </w:r>
            <w:hyperlink r:id="rId6" w:anchor="tbl1fn1" w:history="1">
              <w:r w:rsidRPr="00D06B46">
                <w:rPr>
                  <w:rFonts w:ascii="revert" w:eastAsia="Times New Roman" w:hAnsi="revert" w:cs="Times New Roman"/>
                  <w:color w:val="54278F"/>
                  <w:kern w:val="0"/>
                  <w:sz w:val="20"/>
                  <w:szCs w:val="20"/>
                  <w:u w:val="single"/>
                  <w:vertAlign w:val="superscript"/>
                  <w14:ligatures w14:val="none"/>
                </w:rPr>
                <w:t>*</w:t>
              </w:r>
            </w:hyperlink>
          </w:p>
        </w:tc>
        <w:tc>
          <w:tcPr>
            <w:tcW w:w="3645" w:type="dxa"/>
            <w:tcMar>
              <w:top w:w="56" w:type="dxa"/>
              <w:left w:w="56" w:type="dxa"/>
              <w:bottom w:w="56" w:type="dxa"/>
              <w:right w:w="56" w:type="dxa"/>
            </w:tcMar>
            <w:hideMark/>
          </w:tcPr>
          <w:p w14:paraId="7089D4E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500-g birthweight category with lowest risk within each gestational age category</w:t>
            </w:r>
          </w:p>
        </w:tc>
      </w:tr>
      <w:tr w:rsidR="00D06B46" w:rsidRPr="00D06B46" w14:paraId="48F05FC9" w14:textId="77777777" w:rsidTr="00D06B46">
        <w:trPr>
          <w:tblCellSpacing w:w="15" w:type="dxa"/>
        </w:trPr>
        <w:tc>
          <w:tcPr>
            <w:tcW w:w="0" w:type="auto"/>
            <w:tcMar>
              <w:top w:w="56" w:type="dxa"/>
              <w:left w:w="56" w:type="dxa"/>
              <w:bottom w:w="56" w:type="dxa"/>
              <w:right w:w="56" w:type="dxa"/>
            </w:tcMar>
            <w:hideMark/>
          </w:tcPr>
          <w:p w14:paraId="2358A7B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lastRenderedPageBreak/>
              <w:t>4</w:t>
            </w:r>
          </w:p>
        </w:tc>
        <w:tc>
          <w:tcPr>
            <w:tcW w:w="0" w:type="auto"/>
            <w:tcMar>
              <w:top w:w="56" w:type="dxa"/>
              <w:left w:w="56" w:type="dxa"/>
              <w:bottom w:w="56" w:type="dxa"/>
              <w:right w:w="56" w:type="dxa"/>
            </w:tcMar>
            <w:hideMark/>
          </w:tcPr>
          <w:p w14:paraId="1B26B395"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tcMar>
              <w:top w:w="56" w:type="dxa"/>
              <w:left w:w="56" w:type="dxa"/>
              <w:bottom w:w="56" w:type="dxa"/>
              <w:right w:w="56" w:type="dxa"/>
            </w:tcMar>
            <w:hideMark/>
          </w:tcPr>
          <w:p w14:paraId="36C41307" w14:textId="77777777" w:rsidR="00D06B46" w:rsidRPr="00D06B46" w:rsidRDefault="00D06B46" w:rsidP="00D06B46">
            <w:pPr>
              <w:spacing w:before="450"/>
              <w:rPr>
                <w:rFonts w:ascii="Times New Roman" w:eastAsia="Times New Roman" w:hAnsi="Times New Roman" w:cs="Times New Roman"/>
                <w:kern w:val="0"/>
                <w:sz w:val="20"/>
                <w:szCs w:val="20"/>
                <w14:ligatures w14:val="none"/>
              </w:rPr>
            </w:pPr>
          </w:p>
        </w:tc>
        <w:tc>
          <w:tcPr>
            <w:tcW w:w="0" w:type="auto"/>
            <w:tcMar>
              <w:top w:w="56" w:type="dxa"/>
              <w:left w:w="56" w:type="dxa"/>
              <w:bottom w:w="56" w:type="dxa"/>
              <w:right w:w="56" w:type="dxa"/>
            </w:tcMar>
            <w:hideMark/>
          </w:tcPr>
          <w:p w14:paraId="1B1ABA5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Short gestation for birthweight</w:t>
            </w:r>
          </w:p>
        </w:tc>
        <w:tc>
          <w:tcPr>
            <w:tcW w:w="3605" w:type="dxa"/>
            <w:tcMar>
              <w:top w:w="56" w:type="dxa"/>
              <w:left w:w="56" w:type="dxa"/>
              <w:bottom w:w="56" w:type="dxa"/>
              <w:right w:w="56" w:type="dxa"/>
            </w:tcMar>
            <w:hideMark/>
          </w:tcPr>
          <w:p w14:paraId="6B6BDB1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births occurring in 500-g birthweight categories from [0–500) g to [4000–4500) g, for each 2-week gestational age category starting from [0–24) weeks to [40–42) weeks</w:t>
            </w:r>
            <w:hyperlink r:id="rId7" w:anchor="tbl1fn1" w:history="1">
              <w:r w:rsidRPr="00D06B46">
                <w:rPr>
                  <w:rFonts w:ascii="revert" w:eastAsia="Times New Roman" w:hAnsi="revert" w:cs="Times New Roman"/>
                  <w:color w:val="54278F"/>
                  <w:kern w:val="0"/>
                  <w:sz w:val="20"/>
                  <w:szCs w:val="20"/>
                  <w:u w:val="single"/>
                  <w:vertAlign w:val="superscript"/>
                  <w14:ligatures w14:val="none"/>
                </w:rPr>
                <w:t>*</w:t>
              </w:r>
            </w:hyperlink>
          </w:p>
        </w:tc>
        <w:tc>
          <w:tcPr>
            <w:tcW w:w="3645" w:type="dxa"/>
            <w:tcMar>
              <w:top w:w="56" w:type="dxa"/>
              <w:left w:w="56" w:type="dxa"/>
              <w:bottom w:w="56" w:type="dxa"/>
              <w:right w:w="56" w:type="dxa"/>
            </w:tcMar>
            <w:hideMark/>
          </w:tcPr>
          <w:p w14:paraId="23C2189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2-week gestational age category with lowest risk within each birthweight category</w:t>
            </w:r>
          </w:p>
        </w:tc>
      </w:tr>
      <w:tr w:rsidR="00D06B46" w:rsidRPr="00D06B46" w14:paraId="0305204E" w14:textId="77777777" w:rsidTr="00D06B46">
        <w:trPr>
          <w:tblCellSpacing w:w="15" w:type="dxa"/>
        </w:trPr>
        <w:tc>
          <w:tcPr>
            <w:tcW w:w="0" w:type="auto"/>
            <w:tcMar>
              <w:top w:w="56" w:type="dxa"/>
              <w:left w:w="56" w:type="dxa"/>
              <w:bottom w:w="56" w:type="dxa"/>
              <w:right w:w="56" w:type="dxa"/>
            </w:tcMar>
            <w:hideMark/>
          </w:tcPr>
          <w:p w14:paraId="4897895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787CE150"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69DCACE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Iron deficiency</w:t>
            </w:r>
          </w:p>
        </w:tc>
        <w:tc>
          <w:tcPr>
            <w:tcW w:w="3605" w:type="dxa"/>
            <w:tcMar>
              <w:top w:w="56" w:type="dxa"/>
              <w:left w:w="56" w:type="dxa"/>
              <w:bottom w:w="56" w:type="dxa"/>
              <w:right w:w="56" w:type="dxa"/>
            </w:tcMar>
            <w:hideMark/>
          </w:tcPr>
          <w:p w14:paraId="51E2EB7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Peripheral blood </w:t>
            </w:r>
            <w:proofErr w:type="spellStart"/>
            <w:r w:rsidRPr="00D06B46">
              <w:rPr>
                <w:rFonts w:ascii="Times New Roman" w:eastAsia="Times New Roman" w:hAnsi="Times New Roman" w:cs="Times New Roman"/>
                <w:kern w:val="0"/>
                <w14:ligatures w14:val="none"/>
              </w:rPr>
              <w:t>haemoglobin</w:t>
            </w:r>
            <w:proofErr w:type="spellEnd"/>
            <w:r w:rsidRPr="00D06B46">
              <w:rPr>
                <w:rFonts w:ascii="Times New Roman" w:eastAsia="Times New Roman" w:hAnsi="Times New Roman" w:cs="Times New Roman"/>
                <w:kern w:val="0"/>
                <w14:ligatures w14:val="none"/>
              </w:rPr>
              <w:t xml:space="preserve"> concentration in g/L for all iron-responsive causes</w:t>
            </w:r>
          </w:p>
        </w:tc>
        <w:tc>
          <w:tcPr>
            <w:tcW w:w="3645" w:type="dxa"/>
            <w:tcMar>
              <w:top w:w="56" w:type="dxa"/>
              <w:left w:w="56" w:type="dxa"/>
              <w:bottom w:w="56" w:type="dxa"/>
              <w:right w:w="56" w:type="dxa"/>
            </w:tcMar>
            <w:hideMark/>
          </w:tcPr>
          <w:p w14:paraId="09703F9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Counterfactual </w:t>
            </w:r>
            <w:proofErr w:type="spellStart"/>
            <w:r w:rsidRPr="00D06B46">
              <w:rPr>
                <w:rFonts w:ascii="Times New Roman" w:eastAsia="Times New Roman" w:hAnsi="Times New Roman" w:cs="Times New Roman"/>
                <w:kern w:val="0"/>
                <w14:ligatures w14:val="none"/>
              </w:rPr>
              <w:t>haemoglobin</w:t>
            </w:r>
            <w:proofErr w:type="spellEnd"/>
            <w:r w:rsidRPr="00D06B46">
              <w:rPr>
                <w:rFonts w:ascii="Times New Roman" w:eastAsia="Times New Roman" w:hAnsi="Times New Roman" w:cs="Times New Roman"/>
                <w:kern w:val="0"/>
                <w14:ligatures w14:val="none"/>
              </w:rPr>
              <w:t xml:space="preserve"> concentration in the absence of iron deficiency in g/L for all iron-responsive causes</w:t>
            </w:r>
          </w:p>
        </w:tc>
      </w:tr>
      <w:tr w:rsidR="00D06B46" w:rsidRPr="00D06B46" w14:paraId="60CD5DB5" w14:textId="77777777" w:rsidTr="00D06B46">
        <w:trPr>
          <w:tblCellSpacing w:w="15" w:type="dxa"/>
        </w:trPr>
        <w:tc>
          <w:tcPr>
            <w:tcW w:w="0" w:type="auto"/>
            <w:tcMar>
              <w:top w:w="56" w:type="dxa"/>
              <w:left w:w="56" w:type="dxa"/>
              <w:bottom w:w="56" w:type="dxa"/>
              <w:right w:w="56" w:type="dxa"/>
            </w:tcMar>
            <w:hideMark/>
          </w:tcPr>
          <w:p w14:paraId="76B4F4D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17212E1B"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6EF2782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Vitamin A deficiency</w:t>
            </w:r>
          </w:p>
        </w:tc>
        <w:tc>
          <w:tcPr>
            <w:tcW w:w="3605" w:type="dxa"/>
            <w:tcMar>
              <w:top w:w="56" w:type="dxa"/>
              <w:left w:w="56" w:type="dxa"/>
              <w:bottom w:w="56" w:type="dxa"/>
              <w:right w:w="56" w:type="dxa"/>
            </w:tcMar>
            <w:hideMark/>
          </w:tcPr>
          <w:p w14:paraId="66F77E4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Proportion of children aged 0–5 years with serum retinol concentration &lt;0·7 </w:t>
            </w:r>
            <w:proofErr w:type="spellStart"/>
            <w:r w:rsidRPr="00D06B46">
              <w:rPr>
                <w:rFonts w:ascii="Times New Roman" w:eastAsia="Times New Roman" w:hAnsi="Times New Roman" w:cs="Times New Roman"/>
                <w:kern w:val="0"/>
                <w14:ligatures w14:val="none"/>
              </w:rPr>
              <w:t>μmol</w:t>
            </w:r>
            <w:proofErr w:type="spellEnd"/>
            <w:r w:rsidRPr="00D06B46">
              <w:rPr>
                <w:rFonts w:ascii="Times New Roman" w:eastAsia="Times New Roman" w:hAnsi="Times New Roman" w:cs="Times New Roman"/>
                <w:kern w:val="0"/>
                <w14:ligatures w14:val="none"/>
              </w:rPr>
              <w:t>/L</w:t>
            </w:r>
          </w:p>
        </w:tc>
        <w:tc>
          <w:tcPr>
            <w:tcW w:w="3645" w:type="dxa"/>
            <w:tcMar>
              <w:top w:w="56" w:type="dxa"/>
              <w:left w:w="56" w:type="dxa"/>
              <w:bottom w:w="56" w:type="dxa"/>
              <w:right w:w="56" w:type="dxa"/>
            </w:tcMar>
            <w:hideMark/>
          </w:tcPr>
          <w:p w14:paraId="3FB4400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childhood vitamin A deficiency</w:t>
            </w:r>
          </w:p>
        </w:tc>
      </w:tr>
      <w:tr w:rsidR="00D06B46" w:rsidRPr="00D06B46" w14:paraId="244E5830" w14:textId="77777777" w:rsidTr="00D06B46">
        <w:trPr>
          <w:tblCellSpacing w:w="15" w:type="dxa"/>
        </w:trPr>
        <w:tc>
          <w:tcPr>
            <w:tcW w:w="0" w:type="auto"/>
            <w:tcMar>
              <w:top w:w="56" w:type="dxa"/>
              <w:left w:w="56" w:type="dxa"/>
              <w:bottom w:w="56" w:type="dxa"/>
              <w:right w:w="56" w:type="dxa"/>
            </w:tcMar>
            <w:hideMark/>
          </w:tcPr>
          <w:p w14:paraId="4190CAA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6ABC84EC"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5D443A6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Zinc deficiency</w:t>
            </w:r>
          </w:p>
        </w:tc>
        <w:tc>
          <w:tcPr>
            <w:tcW w:w="3605" w:type="dxa"/>
            <w:tcMar>
              <w:top w:w="56" w:type="dxa"/>
              <w:left w:w="56" w:type="dxa"/>
              <w:bottom w:w="56" w:type="dxa"/>
              <w:right w:w="56" w:type="dxa"/>
            </w:tcMar>
            <w:hideMark/>
          </w:tcPr>
          <w:p w14:paraId="1D819E7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with inadequate zinc intake versus loss</w:t>
            </w:r>
          </w:p>
        </w:tc>
        <w:tc>
          <w:tcPr>
            <w:tcW w:w="3645" w:type="dxa"/>
            <w:tcMar>
              <w:top w:w="56" w:type="dxa"/>
              <w:left w:w="56" w:type="dxa"/>
              <w:bottom w:w="56" w:type="dxa"/>
              <w:right w:w="56" w:type="dxa"/>
            </w:tcMar>
            <w:hideMark/>
          </w:tcPr>
          <w:p w14:paraId="10A930A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inadequate zinc intake</w:t>
            </w:r>
          </w:p>
        </w:tc>
      </w:tr>
      <w:tr w:rsidR="00D06B46" w:rsidRPr="00D06B46" w14:paraId="5061AF6F" w14:textId="77777777" w:rsidTr="00D06B46">
        <w:trPr>
          <w:tblCellSpacing w:w="15" w:type="dxa"/>
        </w:trPr>
        <w:tc>
          <w:tcPr>
            <w:tcW w:w="0" w:type="auto"/>
            <w:tcMar>
              <w:top w:w="56" w:type="dxa"/>
              <w:left w:w="56" w:type="dxa"/>
              <w:bottom w:w="56" w:type="dxa"/>
              <w:right w:w="56" w:type="dxa"/>
            </w:tcMar>
            <w:hideMark/>
          </w:tcPr>
          <w:p w14:paraId="6C99DC3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65A2EFD7"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36D809A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Tobacco</w:t>
            </w:r>
          </w:p>
        </w:tc>
        <w:tc>
          <w:tcPr>
            <w:tcW w:w="3605" w:type="dxa"/>
            <w:tcMar>
              <w:top w:w="56" w:type="dxa"/>
              <w:left w:w="56" w:type="dxa"/>
              <w:bottom w:w="56" w:type="dxa"/>
              <w:right w:w="56" w:type="dxa"/>
            </w:tcMar>
            <w:hideMark/>
          </w:tcPr>
          <w:p w14:paraId="18F76A3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66B2A74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65F98534" w14:textId="77777777" w:rsidTr="00D06B46">
        <w:trPr>
          <w:tblCellSpacing w:w="15" w:type="dxa"/>
        </w:trPr>
        <w:tc>
          <w:tcPr>
            <w:tcW w:w="0" w:type="auto"/>
            <w:tcMar>
              <w:top w:w="56" w:type="dxa"/>
              <w:left w:w="56" w:type="dxa"/>
              <w:bottom w:w="56" w:type="dxa"/>
              <w:right w:w="56" w:type="dxa"/>
            </w:tcMar>
            <w:hideMark/>
          </w:tcPr>
          <w:p w14:paraId="4E94097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203C19C3"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3CB5072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Smoking</w:t>
            </w:r>
          </w:p>
        </w:tc>
        <w:tc>
          <w:tcPr>
            <w:tcW w:w="3605" w:type="dxa"/>
            <w:tcMar>
              <w:top w:w="56" w:type="dxa"/>
              <w:left w:w="56" w:type="dxa"/>
              <w:bottom w:w="56" w:type="dxa"/>
              <w:right w:w="56" w:type="dxa"/>
            </w:tcMar>
            <w:hideMark/>
          </w:tcPr>
          <w:p w14:paraId="07E0880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Prevalence of current use of any smoked tobacco product and prevalence of former use of any smoked tobacco product; among current smokers, cigarette equivalents smoked per smoker per day and cumulative pack-years of exposure; among former smokers, number of years since quitting</w:t>
            </w:r>
          </w:p>
        </w:tc>
        <w:tc>
          <w:tcPr>
            <w:tcW w:w="3645" w:type="dxa"/>
            <w:tcMar>
              <w:top w:w="56" w:type="dxa"/>
              <w:left w:w="56" w:type="dxa"/>
              <w:bottom w:w="56" w:type="dxa"/>
              <w:right w:w="56" w:type="dxa"/>
            </w:tcMar>
            <w:hideMark/>
          </w:tcPr>
          <w:p w14:paraId="4BCEA5F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All individuals are lifelong non-smokers</w:t>
            </w:r>
          </w:p>
        </w:tc>
      </w:tr>
      <w:tr w:rsidR="00D06B46" w:rsidRPr="00D06B46" w14:paraId="2E2D9A5C" w14:textId="77777777" w:rsidTr="00D06B46">
        <w:trPr>
          <w:tblCellSpacing w:w="15" w:type="dxa"/>
        </w:trPr>
        <w:tc>
          <w:tcPr>
            <w:tcW w:w="0" w:type="auto"/>
            <w:tcMar>
              <w:top w:w="56" w:type="dxa"/>
              <w:left w:w="56" w:type="dxa"/>
              <w:bottom w:w="56" w:type="dxa"/>
              <w:right w:w="56" w:type="dxa"/>
            </w:tcMar>
            <w:hideMark/>
          </w:tcPr>
          <w:p w14:paraId="3077F80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5740B9A"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FEDD69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Chewing tobacco</w:t>
            </w:r>
          </w:p>
        </w:tc>
        <w:tc>
          <w:tcPr>
            <w:tcW w:w="3605" w:type="dxa"/>
            <w:tcMar>
              <w:top w:w="56" w:type="dxa"/>
              <w:left w:w="56" w:type="dxa"/>
              <w:bottom w:w="56" w:type="dxa"/>
              <w:right w:w="56" w:type="dxa"/>
            </w:tcMar>
            <w:hideMark/>
          </w:tcPr>
          <w:p w14:paraId="724ED2F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Current use of any chewing tobacco product</w:t>
            </w:r>
          </w:p>
        </w:tc>
        <w:tc>
          <w:tcPr>
            <w:tcW w:w="3645" w:type="dxa"/>
            <w:tcMar>
              <w:top w:w="56" w:type="dxa"/>
              <w:left w:w="56" w:type="dxa"/>
              <w:bottom w:w="56" w:type="dxa"/>
              <w:right w:w="56" w:type="dxa"/>
            </w:tcMar>
            <w:hideMark/>
          </w:tcPr>
          <w:p w14:paraId="55006C0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All individuals are lifelong non-users of chewing tobacco products</w:t>
            </w:r>
          </w:p>
        </w:tc>
      </w:tr>
      <w:tr w:rsidR="00D06B46" w:rsidRPr="00D06B46" w14:paraId="701CCC38" w14:textId="77777777" w:rsidTr="00D06B46">
        <w:trPr>
          <w:tblCellSpacing w:w="15" w:type="dxa"/>
        </w:trPr>
        <w:tc>
          <w:tcPr>
            <w:tcW w:w="0" w:type="auto"/>
            <w:tcMar>
              <w:top w:w="56" w:type="dxa"/>
              <w:left w:w="56" w:type="dxa"/>
              <w:bottom w:w="56" w:type="dxa"/>
              <w:right w:w="56" w:type="dxa"/>
            </w:tcMar>
            <w:hideMark/>
          </w:tcPr>
          <w:p w14:paraId="2687870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lastRenderedPageBreak/>
              <w:t>3</w:t>
            </w:r>
          </w:p>
        </w:tc>
        <w:tc>
          <w:tcPr>
            <w:tcW w:w="0" w:type="auto"/>
            <w:tcMar>
              <w:top w:w="56" w:type="dxa"/>
              <w:left w:w="56" w:type="dxa"/>
              <w:bottom w:w="56" w:type="dxa"/>
              <w:right w:w="56" w:type="dxa"/>
            </w:tcMar>
            <w:hideMark/>
          </w:tcPr>
          <w:p w14:paraId="3853D596"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03359E4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Second-hand smoke</w:t>
            </w:r>
          </w:p>
        </w:tc>
        <w:tc>
          <w:tcPr>
            <w:tcW w:w="3605" w:type="dxa"/>
            <w:tcMar>
              <w:top w:w="56" w:type="dxa"/>
              <w:left w:w="56" w:type="dxa"/>
              <w:bottom w:w="56" w:type="dxa"/>
              <w:right w:w="56" w:type="dxa"/>
            </w:tcMar>
            <w:hideMark/>
          </w:tcPr>
          <w:p w14:paraId="3B04F76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Average daily exposure to air particulate matter from second-hand smoke with an aerodynamic diameter smaller than 2·5 </w:t>
            </w:r>
            <w:proofErr w:type="spellStart"/>
            <w:r w:rsidRPr="00D06B46">
              <w:rPr>
                <w:rFonts w:ascii="Times New Roman" w:eastAsia="Times New Roman" w:hAnsi="Times New Roman" w:cs="Times New Roman"/>
                <w:kern w:val="0"/>
                <w14:ligatures w14:val="none"/>
              </w:rPr>
              <w:t>μg</w:t>
            </w:r>
            <w:proofErr w:type="spellEnd"/>
            <w:r w:rsidRPr="00D06B46">
              <w:rPr>
                <w:rFonts w:ascii="Times New Roman" w:eastAsia="Times New Roman" w:hAnsi="Times New Roman" w:cs="Times New Roman"/>
                <w:kern w:val="0"/>
                <w14:ligatures w14:val="none"/>
              </w:rPr>
              <w:t xml:space="preserve">, measured in </w:t>
            </w:r>
            <w:proofErr w:type="spellStart"/>
            <w:r w:rsidRPr="00D06B46">
              <w:rPr>
                <w:rFonts w:ascii="Times New Roman" w:eastAsia="Times New Roman" w:hAnsi="Times New Roman" w:cs="Times New Roman"/>
                <w:kern w:val="0"/>
                <w14:ligatures w14:val="none"/>
              </w:rPr>
              <w:t>μg</w:t>
            </w:r>
            <w:proofErr w:type="spellEnd"/>
            <w:r w:rsidRPr="00D06B46">
              <w:rPr>
                <w:rFonts w:ascii="Times New Roman" w:eastAsia="Times New Roman" w:hAnsi="Times New Roman" w:cs="Times New Roman"/>
                <w:kern w:val="0"/>
                <w14:ligatures w14:val="none"/>
              </w:rPr>
              <w:t>/m</w:t>
            </w:r>
            <w:r w:rsidRPr="00D06B46">
              <w:rPr>
                <w:rFonts w:ascii="revert" w:eastAsia="Times New Roman" w:hAnsi="revert" w:cs="Times New Roman"/>
                <w:kern w:val="0"/>
                <w:sz w:val="20"/>
                <w:szCs w:val="20"/>
                <w:vertAlign w:val="superscript"/>
                <w14:ligatures w14:val="none"/>
              </w:rPr>
              <w:t>3</w:t>
            </w:r>
            <w:r w:rsidRPr="00D06B46">
              <w:rPr>
                <w:rFonts w:ascii="Times New Roman" w:eastAsia="Times New Roman" w:hAnsi="Times New Roman" w:cs="Times New Roman"/>
                <w:kern w:val="0"/>
                <w14:ligatures w14:val="none"/>
              </w:rPr>
              <w:t>, among non-smokers</w:t>
            </w:r>
          </w:p>
        </w:tc>
        <w:tc>
          <w:tcPr>
            <w:tcW w:w="3645" w:type="dxa"/>
            <w:tcMar>
              <w:top w:w="56" w:type="dxa"/>
              <w:left w:w="56" w:type="dxa"/>
              <w:bottom w:w="56" w:type="dxa"/>
              <w:right w:w="56" w:type="dxa"/>
            </w:tcMar>
            <w:hideMark/>
          </w:tcPr>
          <w:p w14:paraId="4893474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second-hand smoke exposure</w:t>
            </w:r>
          </w:p>
        </w:tc>
      </w:tr>
      <w:tr w:rsidR="00D06B46" w:rsidRPr="00D06B46" w14:paraId="1AF5F48B" w14:textId="77777777" w:rsidTr="00D06B46">
        <w:trPr>
          <w:tblCellSpacing w:w="15" w:type="dxa"/>
        </w:trPr>
        <w:tc>
          <w:tcPr>
            <w:tcW w:w="0" w:type="auto"/>
            <w:tcMar>
              <w:top w:w="56" w:type="dxa"/>
              <w:left w:w="56" w:type="dxa"/>
              <w:bottom w:w="56" w:type="dxa"/>
              <w:right w:w="56" w:type="dxa"/>
            </w:tcMar>
            <w:hideMark/>
          </w:tcPr>
          <w:p w14:paraId="1BD3825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1C3C4981"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FDCA40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Alcohol use</w:t>
            </w:r>
          </w:p>
        </w:tc>
        <w:tc>
          <w:tcPr>
            <w:tcW w:w="3605" w:type="dxa"/>
            <w:tcMar>
              <w:top w:w="56" w:type="dxa"/>
              <w:left w:w="56" w:type="dxa"/>
              <w:bottom w:w="56" w:type="dxa"/>
              <w:right w:w="56" w:type="dxa"/>
            </w:tcMar>
            <w:hideMark/>
          </w:tcPr>
          <w:p w14:paraId="5E8E0D1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Average daily alcohol consumption of pure alcohol (measured in g per day) in current drinkers who had consumed alcohol during the past 12 months</w:t>
            </w:r>
          </w:p>
        </w:tc>
        <w:tc>
          <w:tcPr>
            <w:tcW w:w="3645" w:type="dxa"/>
            <w:tcMar>
              <w:top w:w="56" w:type="dxa"/>
              <w:left w:w="56" w:type="dxa"/>
              <w:bottom w:w="56" w:type="dxa"/>
              <w:right w:w="56" w:type="dxa"/>
            </w:tcMar>
            <w:hideMark/>
          </w:tcPr>
          <w:p w14:paraId="0A99160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Estimated distribution 0–10 g per day</w:t>
            </w:r>
          </w:p>
        </w:tc>
      </w:tr>
      <w:tr w:rsidR="00D06B46" w:rsidRPr="00D06B46" w14:paraId="4891E496" w14:textId="77777777" w:rsidTr="00D06B46">
        <w:trPr>
          <w:tblCellSpacing w:w="15" w:type="dxa"/>
        </w:trPr>
        <w:tc>
          <w:tcPr>
            <w:tcW w:w="0" w:type="auto"/>
            <w:tcMar>
              <w:top w:w="56" w:type="dxa"/>
              <w:left w:w="56" w:type="dxa"/>
              <w:bottom w:w="56" w:type="dxa"/>
              <w:right w:w="56" w:type="dxa"/>
            </w:tcMar>
            <w:hideMark/>
          </w:tcPr>
          <w:p w14:paraId="68B34A3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41340CE2"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04DF043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Drug use</w:t>
            </w:r>
          </w:p>
        </w:tc>
        <w:tc>
          <w:tcPr>
            <w:tcW w:w="3605" w:type="dxa"/>
            <w:tcMar>
              <w:top w:w="56" w:type="dxa"/>
              <w:left w:w="56" w:type="dxa"/>
              <w:bottom w:w="56" w:type="dxa"/>
              <w:right w:w="56" w:type="dxa"/>
            </w:tcMar>
            <w:hideMark/>
          </w:tcPr>
          <w:p w14:paraId="7AB1316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Proportion of the population dependent upon opioids, cannabis, cocaine, or amphetamines; proportion of the population who have ever injected drugs</w:t>
            </w:r>
          </w:p>
        </w:tc>
        <w:tc>
          <w:tcPr>
            <w:tcW w:w="3645" w:type="dxa"/>
            <w:tcMar>
              <w:top w:w="56" w:type="dxa"/>
              <w:left w:w="56" w:type="dxa"/>
              <w:bottom w:w="56" w:type="dxa"/>
              <w:right w:w="56" w:type="dxa"/>
            </w:tcMar>
            <w:hideMark/>
          </w:tcPr>
          <w:p w14:paraId="7AC0450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No drug use</w:t>
            </w:r>
          </w:p>
        </w:tc>
      </w:tr>
      <w:tr w:rsidR="00D06B46" w:rsidRPr="00D06B46" w14:paraId="29FFCF1B" w14:textId="77777777" w:rsidTr="00D06B46">
        <w:trPr>
          <w:tblCellSpacing w:w="15" w:type="dxa"/>
        </w:trPr>
        <w:tc>
          <w:tcPr>
            <w:tcW w:w="0" w:type="auto"/>
            <w:tcMar>
              <w:top w:w="56" w:type="dxa"/>
              <w:left w:w="56" w:type="dxa"/>
              <w:bottom w:w="56" w:type="dxa"/>
              <w:right w:w="56" w:type="dxa"/>
            </w:tcMar>
            <w:hideMark/>
          </w:tcPr>
          <w:p w14:paraId="1FFB3CB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0454F361"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A097AD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Dietary risks</w:t>
            </w:r>
          </w:p>
        </w:tc>
        <w:tc>
          <w:tcPr>
            <w:tcW w:w="3605" w:type="dxa"/>
            <w:tcMar>
              <w:top w:w="56" w:type="dxa"/>
              <w:left w:w="56" w:type="dxa"/>
              <w:bottom w:w="56" w:type="dxa"/>
              <w:right w:w="56" w:type="dxa"/>
            </w:tcMar>
            <w:hideMark/>
          </w:tcPr>
          <w:p w14:paraId="68BBA46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019F437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06D36714" w14:textId="77777777" w:rsidTr="00D06B46">
        <w:trPr>
          <w:tblCellSpacing w:w="15" w:type="dxa"/>
        </w:trPr>
        <w:tc>
          <w:tcPr>
            <w:tcW w:w="0" w:type="auto"/>
            <w:tcMar>
              <w:top w:w="56" w:type="dxa"/>
              <w:left w:w="56" w:type="dxa"/>
              <w:bottom w:w="56" w:type="dxa"/>
              <w:right w:w="56" w:type="dxa"/>
            </w:tcMar>
            <w:hideMark/>
          </w:tcPr>
          <w:p w14:paraId="55B908C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36921C66"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1E583CB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low in fruits</w:t>
            </w:r>
          </w:p>
        </w:tc>
        <w:tc>
          <w:tcPr>
            <w:tcW w:w="3605" w:type="dxa"/>
            <w:tcMar>
              <w:top w:w="56" w:type="dxa"/>
              <w:left w:w="56" w:type="dxa"/>
              <w:bottom w:w="56" w:type="dxa"/>
              <w:right w:w="56" w:type="dxa"/>
            </w:tcMar>
            <w:hideMark/>
          </w:tcPr>
          <w:p w14:paraId="3A1CF84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Average daily consumption of fruits (fresh, frozen, cooked, canned, or dried, excluding fruit juices and salted or pickled fruits)</w:t>
            </w:r>
          </w:p>
        </w:tc>
        <w:tc>
          <w:tcPr>
            <w:tcW w:w="3645" w:type="dxa"/>
            <w:tcMar>
              <w:top w:w="56" w:type="dxa"/>
              <w:left w:w="56" w:type="dxa"/>
              <w:bottom w:w="56" w:type="dxa"/>
              <w:right w:w="56" w:type="dxa"/>
            </w:tcMar>
            <w:hideMark/>
          </w:tcPr>
          <w:p w14:paraId="046E0C3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fruit 200–300 g per day</w:t>
            </w:r>
          </w:p>
        </w:tc>
      </w:tr>
      <w:tr w:rsidR="00D06B46" w:rsidRPr="00D06B46" w14:paraId="29051B05" w14:textId="77777777" w:rsidTr="00D06B46">
        <w:trPr>
          <w:tblCellSpacing w:w="15" w:type="dxa"/>
        </w:trPr>
        <w:tc>
          <w:tcPr>
            <w:tcW w:w="0" w:type="auto"/>
            <w:tcMar>
              <w:top w:w="56" w:type="dxa"/>
              <w:left w:w="56" w:type="dxa"/>
              <w:bottom w:w="56" w:type="dxa"/>
              <w:right w:w="56" w:type="dxa"/>
            </w:tcMar>
            <w:hideMark/>
          </w:tcPr>
          <w:p w14:paraId="77262CE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E947993"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7108BAF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low in vegetables</w:t>
            </w:r>
          </w:p>
        </w:tc>
        <w:tc>
          <w:tcPr>
            <w:tcW w:w="3605" w:type="dxa"/>
            <w:tcMar>
              <w:top w:w="56" w:type="dxa"/>
              <w:left w:w="56" w:type="dxa"/>
              <w:bottom w:w="56" w:type="dxa"/>
              <w:right w:w="56" w:type="dxa"/>
            </w:tcMar>
            <w:hideMark/>
          </w:tcPr>
          <w:p w14:paraId="76F9894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Average daily consumption of vegetables (fresh, frozen, cooked, canned, or dried, excluding legumes and salted or pickled vegetables, juices, nuts and seeds, and starchy vegetables such as potatoes or corn)</w:t>
            </w:r>
          </w:p>
        </w:tc>
        <w:tc>
          <w:tcPr>
            <w:tcW w:w="3645" w:type="dxa"/>
            <w:tcMar>
              <w:top w:w="56" w:type="dxa"/>
              <w:left w:w="56" w:type="dxa"/>
              <w:bottom w:w="56" w:type="dxa"/>
              <w:right w:w="56" w:type="dxa"/>
            </w:tcMar>
            <w:hideMark/>
          </w:tcPr>
          <w:p w14:paraId="5E13F98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vegetables 290–430 g per day</w:t>
            </w:r>
          </w:p>
        </w:tc>
      </w:tr>
      <w:tr w:rsidR="00D06B46" w:rsidRPr="00D06B46" w14:paraId="182D7220" w14:textId="77777777" w:rsidTr="00D06B46">
        <w:trPr>
          <w:tblCellSpacing w:w="15" w:type="dxa"/>
        </w:trPr>
        <w:tc>
          <w:tcPr>
            <w:tcW w:w="0" w:type="auto"/>
            <w:tcMar>
              <w:top w:w="56" w:type="dxa"/>
              <w:left w:w="56" w:type="dxa"/>
              <w:bottom w:w="56" w:type="dxa"/>
              <w:right w:w="56" w:type="dxa"/>
            </w:tcMar>
            <w:hideMark/>
          </w:tcPr>
          <w:p w14:paraId="43EA5FA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lastRenderedPageBreak/>
              <w:t>3</w:t>
            </w:r>
          </w:p>
        </w:tc>
        <w:tc>
          <w:tcPr>
            <w:tcW w:w="0" w:type="auto"/>
            <w:tcMar>
              <w:top w:w="56" w:type="dxa"/>
              <w:left w:w="56" w:type="dxa"/>
              <w:bottom w:w="56" w:type="dxa"/>
              <w:right w:w="56" w:type="dxa"/>
            </w:tcMar>
            <w:hideMark/>
          </w:tcPr>
          <w:p w14:paraId="1164D63A"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647B1DE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low in legumes</w:t>
            </w:r>
          </w:p>
        </w:tc>
        <w:tc>
          <w:tcPr>
            <w:tcW w:w="3605" w:type="dxa"/>
            <w:tcMar>
              <w:top w:w="56" w:type="dxa"/>
              <w:left w:w="56" w:type="dxa"/>
              <w:bottom w:w="56" w:type="dxa"/>
              <w:right w:w="56" w:type="dxa"/>
            </w:tcMar>
            <w:hideMark/>
          </w:tcPr>
          <w:p w14:paraId="6236EE8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Average daily consumption of legumes (fresh, frozen, cooked, canned, or dried legumes)</w:t>
            </w:r>
          </w:p>
        </w:tc>
        <w:tc>
          <w:tcPr>
            <w:tcW w:w="3645" w:type="dxa"/>
            <w:tcMar>
              <w:top w:w="56" w:type="dxa"/>
              <w:left w:w="56" w:type="dxa"/>
              <w:bottom w:w="56" w:type="dxa"/>
              <w:right w:w="56" w:type="dxa"/>
            </w:tcMar>
            <w:hideMark/>
          </w:tcPr>
          <w:p w14:paraId="706A639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legumes 50–70 g per day</w:t>
            </w:r>
          </w:p>
        </w:tc>
      </w:tr>
      <w:tr w:rsidR="00D06B46" w:rsidRPr="00D06B46" w14:paraId="33FB98E0" w14:textId="77777777" w:rsidTr="00D06B46">
        <w:trPr>
          <w:tblCellSpacing w:w="15" w:type="dxa"/>
        </w:trPr>
        <w:tc>
          <w:tcPr>
            <w:tcW w:w="0" w:type="auto"/>
            <w:tcMar>
              <w:top w:w="56" w:type="dxa"/>
              <w:left w:w="56" w:type="dxa"/>
              <w:bottom w:w="56" w:type="dxa"/>
              <w:right w:w="56" w:type="dxa"/>
            </w:tcMar>
            <w:hideMark/>
          </w:tcPr>
          <w:p w14:paraId="227FF61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220FA5BF"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D56535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low in whole grains</w:t>
            </w:r>
          </w:p>
        </w:tc>
        <w:tc>
          <w:tcPr>
            <w:tcW w:w="3605" w:type="dxa"/>
            <w:tcMar>
              <w:top w:w="56" w:type="dxa"/>
              <w:left w:w="56" w:type="dxa"/>
              <w:bottom w:w="56" w:type="dxa"/>
              <w:right w:w="56" w:type="dxa"/>
            </w:tcMar>
            <w:hideMark/>
          </w:tcPr>
          <w:p w14:paraId="03C94C3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Average daily consumption of whole grains (bran, germ, and endosperm in their natural proportion) from breakfast cereals, bread, rice, pasta, biscuits, muffins, tortillas, pancakes, and other sources</w:t>
            </w:r>
          </w:p>
        </w:tc>
        <w:tc>
          <w:tcPr>
            <w:tcW w:w="3645" w:type="dxa"/>
            <w:tcMar>
              <w:top w:w="56" w:type="dxa"/>
              <w:left w:w="56" w:type="dxa"/>
              <w:bottom w:w="56" w:type="dxa"/>
              <w:right w:w="56" w:type="dxa"/>
            </w:tcMar>
            <w:hideMark/>
          </w:tcPr>
          <w:p w14:paraId="5C7C9DC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whole grains 100–150 g per day</w:t>
            </w:r>
          </w:p>
        </w:tc>
      </w:tr>
      <w:tr w:rsidR="00D06B46" w:rsidRPr="00D06B46" w14:paraId="0A161495" w14:textId="77777777" w:rsidTr="00D06B46">
        <w:trPr>
          <w:tblCellSpacing w:w="15" w:type="dxa"/>
        </w:trPr>
        <w:tc>
          <w:tcPr>
            <w:tcW w:w="0" w:type="auto"/>
            <w:tcMar>
              <w:top w:w="56" w:type="dxa"/>
              <w:left w:w="56" w:type="dxa"/>
              <w:bottom w:w="56" w:type="dxa"/>
              <w:right w:w="56" w:type="dxa"/>
            </w:tcMar>
            <w:hideMark/>
          </w:tcPr>
          <w:p w14:paraId="5624A47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56C72474"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30CE563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low in nuts and seeds</w:t>
            </w:r>
          </w:p>
        </w:tc>
        <w:tc>
          <w:tcPr>
            <w:tcW w:w="3605" w:type="dxa"/>
            <w:tcMar>
              <w:top w:w="56" w:type="dxa"/>
              <w:left w:w="56" w:type="dxa"/>
              <w:bottom w:w="56" w:type="dxa"/>
              <w:right w:w="56" w:type="dxa"/>
            </w:tcMar>
            <w:hideMark/>
          </w:tcPr>
          <w:p w14:paraId="76CDB71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Average daily consumption of nut and seed foods</w:t>
            </w:r>
          </w:p>
        </w:tc>
        <w:tc>
          <w:tcPr>
            <w:tcW w:w="3645" w:type="dxa"/>
            <w:tcMar>
              <w:top w:w="56" w:type="dxa"/>
              <w:left w:w="56" w:type="dxa"/>
              <w:bottom w:w="56" w:type="dxa"/>
              <w:right w:w="56" w:type="dxa"/>
            </w:tcMar>
            <w:hideMark/>
          </w:tcPr>
          <w:p w14:paraId="4CF6FCD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nuts and seeds 16–25 g per day</w:t>
            </w:r>
          </w:p>
        </w:tc>
      </w:tr>
      <w:tr w:rsidR="00D06B46" w:rsidRPr="00D06B46" w14:paraId="707C612A" w14:textId="77777777" w:rsidTr="00D06B46">
        <w:trPr>
          <w:tblCellSpacing w:w="15" w:type="dxa"/>
        </w:trPr>
        <w:tc>
          <w:tcPr>
            <w:tcW w:w="0" w:type="auto"/>
            <w:tcMar>
              <w:top w:w="56" w:type="dxa"/>
              <w:left w:w="56" w:type="dxa"/>
              <w:bottom w:w="56" w:type="dxa"/>
              <w:right w:w="56" w:type="dxa"/>
            </w:tcMar>
            <w:hideMark/>
          </w:tcPr>
          <w:p w14:paraId="0C20429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4CA85A80"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71A4B5B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low in milk</w:t>
            </w:r>
          </w:p>
        </w:tc>
        <w:tc>
          <w:tcPr>
            <w:tcW w:w="3605" w:type="dxa"/>
            <w:tcMar>
              <w:top w:w="56" w:type="dxa"/>
              <w:left w:w="56" w:type="dxa"/>
              <w:bottom w:w="56" w:type="dxa"/>
              <w:right w:w="56" w:type="dxa"/>
            </w:tcMar>
            <w:hideMark/>
          </w:tcPr>
          <w:p w14:paraId="56DB354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Average daily consumption of milk, including non-fat, low-fat, and full-fat milk, excluding soy milk and other plant derivatives</w:t>
            </w:r>
          </w:p>
        </w:tc>
        <w:tc>
          <w:tcPr>
            <w:tcW w:w="3645" w:type="dxa"/>
            <w:tcMar>
              <w:top w:w="56" w:type="dxa"/>
              <w:left w:w="56" w:type="dxa"/>
              <w:bottom w:w="56" w:type="dxa"/>
              <w:right w:w="56" w:type="dxa"/>
            </w:tcMar>
            <w:hideMark/>
          </w:tcPr>
          <w:p w14:paraId="329870F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milk 350–520 g per day</w:t>
            </w:r>
          </w:p>
        </w:tc>
      </w:tr>
      <w:tr w:rsidR="00D06B46" w:rsidRPr="00D06B46" w14:paraId="5C02A7EE" w14:textId="77777777" w:rsidTr="00D06B46">
        <w:trPr>
          <w:tblCellSpacing w:w="15" w:type="dxa"/>
        </w:trPr>
        <w:tc>
          <w:tcPr>
            <w:tcW w:w="0" w:type="auto"/>
            <w:tcMar>
              <w:top w:w="56" w:type="dxa"/>
              <w:left w:w="56" w:type="dxa"/>
              <w:bottom w:w="56" w:type="dxa"/>
              <w:right w:w="56" w:type="dxa"/>
            </w:tcMar>
            <w:hideMark/>
          </w:tcPr>
          <w:p w14:paraId="6EA86E4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4E9CB5D3"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6CF8337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high in red meat</w:t>
            </w:r>
          </w:p>
        </w:tc>
        <w:tc>
          <w:tcPr>
            <w:tcW w:w="3605" w:type="dxa"/>
            <w:tcMar>
              <w:top w:w="56" w:type="dxa"/>
              <w:left w:w="56" w:type="dxa"/>
              <w:bottom w:w="56" w:type="dxa"/>
              <w:right w:w="56" w:type="dxa"/>
            </w:tcMar>
            <w:hideMark/>
          </w:tcPr>
          <w:p w14:paraId="08DC72C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Average daily consumption of red meat (beef, pork, lamb, and goat but excluding poultry, fish, eggs, and all processed meats)</w:t>
            </w:r>
          </w:p>
        </w:tc>
        <w:tc>
          <w:tcPr>
            <w:tcW w:w="3645" w:type="dxa"/>
            <w:tcMar>
              <w:top w:w="56" w:type="dxa"/>
              <w:left w:w="56" w:type="dxa"/>
              <w:bottom w:w="56" w:type="dxa"/>
              <w:right w:w="56" w:type="dxa"/>
            </w:tcMar>
            <w:hideMark/>
          </w:tcPr>
          <w:p w14:paraId="0C2C9FB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red meat 18–27 g per day</w:t>
            </w:r>
          </w:p>
        </w:tc>
      </w:tr>
      <w:tr w:rsidR="00D06B46" w:rsidRPr="00D06B46" w14:paraId="65987FD4" w14:textId="77777777" w:rsidTr="00D06B46">
        <w:trPr>
          <w:tblCellSpacing w:w="15" w:type="dxa"/>
        </w:trPr>
        <w:tc>
          <w:tcPr>
            <w:tcW w:w="0" w:type="auto"/>
            <w:tcMar>
              <w:top w:w="56" w:type="dxa"/>
              <w:left w:w="56" w:type="dxa"/>
              <w:bottom w:w="56" w:type="dxa"/>
              <w:right w:w="56" w:type="dxa"/>
            </w:tcMar>
            <w:hideMark/>
          </w:tcPr>
          <w:p w14:paraId="6CF142B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7E98F89C"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D86776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high in processed meat</w:t>
            </w:r>
          </w:p>
        </w:tc>
        <w:tc>
          <w:tcPr>
            <w:tcW w:w="3605" w:type="dxa"/>
            <w:tcMar>
              <w:top w:w="56" w:type="dxa"/>
              <w:left w:w="56" w:type="dxa"/>
              <w:bottom w:w="56" w:type="dxa"/>
              <w:right w:w="56" w:type="dxa"/>
            </w:tcMar>
            <w:hideMark/>
          </w:tcPr>
          <w:p w14:paraId="3A9E7DB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Average daily consumption of meat preserved by smoking, curing, salting, or addition of chemical preservatives</w:t>
            </w:r>
          </w:p>
        </w:tc>
        <w:tc>
          <w:tcPr>
            <w:tcW w:w="3645" w:type="dxa"/>
            <w:tcMar>
              <w:top w:w="56" w:type="dxa"/>
              <w:left w:w="56" w:type="dxa"/>
              <w:bottom w:w="56" w:type="dxa"/>
              <w:right w:w="56" w:type="dxa"/>
            </w:tcMar>
            <w:hideMark/>
          </w:tcPr>
          <w:p w14:paraId="6D496EC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processed meat 0–4 g per day</w:t>
            </w:r>
          </w:p>
        </w:tc>
      </w:tr>
      <w:tr w:rsidR="00D06B46" w:rsidRPr="00D06B46" w14:paraId="20A63ED9" w14:textId="77777777" w:rsidTr="00D06B46">
        <w:trPr>
          <w:tblCellSpacing w:w="15" w:type="dxa"/>
        </w:trPr>
        <w:tc>
          <w:tcPr>
            <w:tcW w:w="0" w:type="auto"/>
            <w:tcMar>
              <w:top w:w="56" w:type="dxa"/>
              <w:left w:w="56" w:type="dxa"/>
              <w:bottom w:w="56" w:type="dxa"/>
              <w:right w:w="56" w:type="dxa"/>
            </w:tcMar>
            <w:hideMark/>
          </w:tcPr>
          <w:p w14:paraId="266CC5A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35E859A3"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2DC3894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high in sugar-sweetened beverages</w:t>
            </w:r>
          </w:p>
        </w:tc>
        <w:tc>
          <w:tcPr>
            <w:tcW w:w="3605" w:type="dxa"/>
            <w:tcMar>
              <w:top w:w="56" w:type="dxa"/>
              <w:left w:w="56" w:type="dxa"/>
              <w:bottom w:w="56" w:type="dxa"/>
              <w:right w:w="56" w:type="dxa"/>
            </w:tcMar>
            <w:hideMark/>
          </w:tcPr>
          <w:p w14:paraId="4175173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Average daily consumption of beverages with ≥50 kcal per 226·8 g serving, including carbonated beverages, sodas, energy drinks, </w:t>
            </w:r>
            <w:r w:rsidRPr="00D06B46">
              <w:rPr>
                <w:rFonts w:ascii="Times New Roman" w:eastAsia="Times New Roman" w:hAnsi="Times New Roman" w:cs="Times New Roman"/>
                <w:kern w:val="0"/>
                <w14:ligatures w14:val="none"/>
              </w:rPr>
              <w:lastRenderedPageBreak/>
              <w:t>fruit drinks, but excluding 100% fruit and vegetable juices</w:t>
            </w:r>
          </w:p>
        </w:tc>
        <w:tc>
          <w:tcPr>
            <w:tcW w:w="3645" w:type="dxa"/>
            <w:tcMar>
              <w:top w:w="56" w:type="dxa"/>
              <w:left w:w="56" w:type="dxa"/>
              <w:bottom w:w="56" w:type="dxa"/>
              <w:right w:w="56" w:type="dxa"/>
            </w:tcMar>
            <w:hideMark/>
          </w:tcPr>
          <w:p w14:paraId="4408974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lastRenderedPageBreak/>
              <w:t>Consumption of sugar-sweetened beverages 0–5 g per day</w:t>
            </w:r>
          </w:p>
        </w:tc>
      </w:tr>
      <w:tr w:rsidR="00D06B46" w:rsidRPr="00D06B46" w14:paraId="5DC7A13C" w14:textId="77777777" w:rsidTr="00D06B46">
        <w:trPr>
          <w:tblCellSpacing w:w="15" w:type="dxa"/>
        </w:trPr>
        <w:tc>
          <w:tcPr>
            <w:tcW w:w="0" w:type="auto"/>
            <w:tcMar>
              <w:top w:w="56" w:type="dxa"/>
              <w:left w:w="56" w:type="dxa"/>
              <w:bottom w:w="56" w:type="dxa"/>
              <w:right w:w="56" w:type="dxa"/>
            </w:tcMar>
            <w:hideMark/>
          </w:tcPr>
          <w:p w14:paraId="24C5C0D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518469F9"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5FE25C2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Diet low in </w:t>
            </w:r>
            <w:proofErr w:type="spellStart"/>
            <w:r w:rsidRPr="00D06B46">
              <w:rPr>
                <w:rFonts w:ascii="Times New Roman" w:eastAsia="Times New Roman" w:hAnsi="Times New Roman" w:cs="Times New Roman"/>
                <w:kern w:val="0"/>
                <w14:ligatures w14:val="none"/>
              </w:rPr>
              <w:t>fibre</w:t>
            </w:r>
            <w:proofErr w:type="spellEnd"/>
          </w:p>
        </w:tc>
        <w:tc>
          <w:tcPr>
            <w:tcW w:w="3605" w:type="dxa"/>
            <w:tcMar>
              <w:top w:w="56" w:type="dxa"/>
              <w:left w:w="56" w:type="dxa"/>
              <w:bottom w:w="56" w:type="dxa"/>
              <w:right w:w="56" w:type="dxa"/>
            </w:tcMar>
            <w:hideMark/>
          </w:tcPr>
          <w:p w14:paraId="09F7520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Average daily intake of </w:t>
            </w:r>
            <w:proofErr w:type="spellStart"/>
            <w:r w:rsidRPr="00D06B46">
              <w:rPr>
                <w:rFonts w:ascii="Times New Roman" w:eastAsia="Times New Roman" w:hAnsi="Times New Roman" w:cs="Times New Roman"/>
                <w:kern w:val="0"/>
                <w14:ligatures w14:val="none"/>
              </w:rPr>
              <w:t>fibre</w:t>
            </w:r>
            <w:proofErr w:type="spellEnd"/>
            <w:r w:rsidRPr="00D06B46">
              <w:rPr>
                <w:rFonts w:ascii="Times New Roman" w:eastAsia="Times New Roman" w:hAnsi="Times New Roman" w:cs="Times New Roman"/>
                <w:kern w:val="0"/>
                <w14:ligatures w14:val="none"/>
              </w:rPr>
              <w:t xml:space="preserve"> from all sources including fruits, vegetables, grains, legumes, and pulses</w:t>
            </w:r>
          </w:p>
        </w:tc>
        <w:tc>
          <w:tcPr>
            <w:tcW w:w="3645" w:type="dxa"/>
            <w:tcMar>
              <w:top w:w="56" w:type="dxa"/>
              <w:left w:w="56" w:type="dxa"/>
              <w:bottom w:w="56" w:type="dxa"/>
              <w:right w:w="56" w:type="dxa"/>
            </w:tcMar>
            <w:hideMark/>
          </w:tcPr>
          <w:p w14:paraId="701310B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Consumption of </w:t>
            </w:r>
            <w:proofErr w:type="spellStart"/>
            <w:r w:rsidRPr="00D06B46">
              <w:rPr>
                <w:rFonts w:ascii="Times New Roman" w:eastAsia="Times New Roman" w:hAnsi="Times New Roman" w:cs="Times New Roman"/>
                <w:kern w:val="0"/>
                <w14:ligatures w14:val="none"/>
              </w:rPr>
              <w:t>fibre</w:t>
            </w:r>
            <w:proofErr w:type="spellEnd"/>
            <w:r w:rsidRPr="00D06B46">
              <w:rPr>
                <w:rFonts w:ascii="Times New Roman" w:eastAsia="Times New Roman" w:hAnsi="Times New Roman" w:cs="Times New Roman"/>
                <w:kern w:val="0"/>
                <w14:ligatures w14:val="none"/>
              </w:rPr>
              <w:t xml:space="preserve"> 19–28 g per day</w:t>
            </w:r>
          </w:p>
        </w:tc>
      </w:tr>
      <w:tr w:rsidR="00D06B46" w:rsidRPr="00D06B46" w14:paraId="7EDAEDA0" w14:textId="77777777" w:rsidTr="00D06B46">
        <w:trPr>
          <w:tblCellSpacing w:w="15" w:type="dxa"/>
        </w:trPr>
        <w:tc>
          <w:tcPr>
            <w:tcW w:w="0" w:type="auto"/>
            <w:tcMar>
              <w:top w:w="56" w:type="dxa"/>
              <w:left w:w="56" w:type="dxa"/>
              <w:bottom w:w="56" w:type="dxa"/>
              <w:right w:w="56" w:type="dxa"/>
            </w:tcMar>
            <w:hideMark/>
          </w:tcPr>
          <w:p w14:paraId="4E81516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521D2872"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3A58E8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low in calcium</w:t>
            </w:r>
          </w:p>
        </w:tc>
        <w:tc>
          <w:tcPr>
            <w:tcW w:w="3605" w:type="dxa"/>
            <w:tcMar>
              <w:top w:w="56" w:type="dxa"/>
              <w:left w:w="56" w:type="dxa"/>
              <w:bottom w:w="56" w:type="dxa"/>
              <w:right w:w="56" w:type="dxa"/>
            </w:tcMar>
            <w:hideMark/>
          </w:tcPr>
          <w:p w14:paraId="415AC21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Average daily intake of calcium from all sources, including milk, yogurt, and cheese</w:t>
            </w:r>
          </w:p>
        </w:tc>
        <w:tc>
          <w:tcPr>
            <w:tcW w:w="3645" w:type="dxa"/>
            <w:tcMar>
              <w:top w:w="56" w:type="dxa"/>
              <w:left w:w="56" w:type="dxa"/>
              <w:bottom w:w="56" w:type="dxa"/>
              <w:right w:w="56" w:type="dxa"/>
            </w:tcMar>
            <w:hideMark/>
          </w:tcPr>
          <w:p w14:paraId="51D3CFE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calcium 1·0–1·5 g per day</w:t>
            </w:r>
          </w:p>
        </w:tc>
      </w:tr>
      <w:tr w:rsidR="00D06B46" w:rsidRPr="00D06B46" w14:paraId="3A58EB88" w14:textId="77777777" w:rsidTr="00D06B46">
        <w:trPr>
          <w:tblCellSpacing w:w="15" w:type="dxa"/>
        </w:trPr>
        <w:tc>
          <w:tcPr>
            <w:tcW w:w="0" w:type="auto"/>
            <w:tcMar>
              <w:top w:w="56" w:type="dxa"/>
              <w:left w:w="56" w:type="dxa"/>
              <w:bottom w:w="56" w:type="dxa"/>
              <w:right w:w="56" w:type="dxa"/>
            </w:tcMar>
            <w:hideMark/>
          </w:tcPr>
          <w:p w14:paraId="2FDB17D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032DC782"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0E4B6F2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low in seafood omega 3 fatty acids</w:t>
            </w:r>
          </w:p>
        </w:tc>
        <w:tc>
          <w:tcPr>
            <w:tcW w:w="3605" w:type="dxa"/>
            <w:tcMar>
              <w:top w:w="56" w:type="dxa"/>
              <w:left w:w="56" w:type="dxa"/>
              <w:bottom w:w="56" w:type="dxa"/>
              <w:right w:w="56" w:type="dxa"/>
            </w:tcMar>
            <w:hideMark/>
          </w:tcPr>
          <w:p w14:paraId="7EF3724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Average daily intake of </w:t>
            </w:r>
            <w:proofErr w:type="spellStart"/>
            <w:r w:rsidRPr="00D06B46">
              <w:rPr>
                <w:rFonts w:ascii="Times New Roman" w:eastAsia="Times New Roman" w:hAnsi="Times New Roman" w:cs="Times New Roman"/>
                <w:kern w:val="0"/>
                <w14:ligatures w14:val="none"/>
              </w:rPr>
              <w:t>eicosapentaenoic</w:t>
            </w:r>
            <w:proofErr w:type="spellEnd"/>
            <w:r w:rsidRPr="00D06B46">
              <w:rPr>
                <w:rFonts w:ascii="Times New Roman" w:eastAsia="Times New Roman" w:hAnsi="Times New Roman" w:cs="Times New Roman"/>
                <w:kern w:val="0"/>
                <w14:ligatures w14:val="none"/>
              </w:rPr>
              <w:t xml:space="preserve"> acid and docosahexaenoic acid</w:t>
            </w:r>
          </w:p>
        </w:tc>
        <w:tc>
          <w:tcPr>
            <w:tcW w:w="3645" w:type="dxa"/>
            <w:tcMar>
              <w:top w:w="56" w:type="dxa"/>
              <w:left w:w="56" w:type="dxa"/>
              <w:bottom w:w="56" w:type="dxa"/>
              <w:right w:w="56" w:type="dxa"/>
            </w:tcMar>
            <w:hideMark/>
          </w:tcPr>
          <w:p w14:paraId="5C74C39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seafood omega 3 fatty acids 200–300 mg per day</w:t>
            </w:r>
          </w:p>
        </w:tc>
      </w:tr>
      <w:tr w:rsidR="00D06B46" w:rsidRPr="00D06B46" w14:paraId="64FF6622" w14:textId="77777777" w:rsidTr="00D06B46">
        <w:trPr>
          <w:tblCellSpacing w:w="15" w:type="dxa"/>
        </w:trPr>
        <w:tc>
          <w:tcPr>
            <w:tcW w:w="0" w:type="auto"/>
            <w:tcMar>
              <w:top w:w="56" w:type="dxa"/>
              <w:left w:w="56" w:type="dxa"/>
              <w:bottom w:w="56" w:type="dxa"/>
              <w:right w:w="56" w:type="dxa"/>
            </w:tcMar>
            <w:hideMark/>
          </w:tcPr>
          <w:p w14:paraId="00508AA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2CE44F76"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DC9221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low in polyunsaturated fatty acids</w:t>
            </w:r>
          </w:p>
        </w:tc>
        <w:tc>
          <w:tcPr>
            <w:tcW w:w="3605" w:type="dxa"/>
            <w:tcMar>
              <w:top w:w="56" w:type="dxa"/>
              <w:left w:w="56" w:type="dxa"/>
              <w:bottom w:w="56" w:type="dxa"/>
              <w:right w:w="56" w:type="dxa"/>
            </w:tcMar>
            <w:hideMark/>
          </w:tcPr>
          <w:p w14:paraId="382D5B0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Average daily intake of omega 6 fatty acids from all sources, mainly liquid vegetable oils, including soybean oil, corn oil, and safflower oil</w:t>
            </w:r>
          </w:p>
        </w:tc>
        <w:tc>
          <w:tcPr>
            <w:tcW w:w="3645" w:type="dxa"/>
            <w:tcMar>
              <w:top w:w="56" w:type="dxa"/>
              <w:left w:w="56" w:type="dxa"/>
              <w:bottom w:w="56" w:type="dxa"/>
              <w:right w:w="56" w:type="dxa"/>
            </w:tcMar>
            <w:hideMark/>
          </w:tcPr>
          <w:p w14:paraId="3F0A7F8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polyunsaturated fatty acids as 9–13% of total daily energy</w:t>
            </w:r>
          </w:p>
        </w:tc>
      </w:tr>
      <w:tr w:rsidR="00D06B46" w:rsidRPr="00D06B46" w14:paraId="1ED88697" w14:textId="77777777" w:rsidTr="00D06B46">
        <w:trPr>
          <w:tblCellSpacing w:w="15" w:type="dxa"/>
        </w:trPr>
        <w:tc>
          <w:tcPr>
            <w:tcW w:w="0" w:type="auto"/>
            <w:tcMar>
              <w:top w:w="56" w:type="dxa"/>
              <w:left w:w="56" w:type="dxa"/>
              <w:bottom w:w="56" w:type="dxa"/>
              <w:right w:w="56" w:type="dxa"/>
            </w:tcMar>
            <w:hideMark/>
          </w:tcPr>
          <w:p w14:paraId="34FE16A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12B882AE"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B79F78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high in trans fatty acids</w:t>
            </w:r>
          </w:p>
        </w:tc>
        <w:tc>
          <w:tcPr>
            <w:tcW w:w="3605" w:type="dxa"/>
            <w:tcMar>
              <w:top w:w="56" w:type="dxa"/>
              <w:left w:w="56" w:type="dxa"/>
              <w:bottom w:w="56" w:type="dxa"/>
              <w:right w:w="56" w:type="dxa"/>
            </w:tcMar>
            <w:hideMark/>
          </w:tcPr>
          <w:p w14:paraId="211A816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Average daily intake of trans fat from all sources, mainly partially hydrogenated vegetable oils and ruminant products</w:t>
            </w:r>
          </w:p>
        </w:tc>
        <w:tc>
          <w:tcPr>
            <w:tcW w:w="3645" w:type="dxa"/>
            <w:tcMar>
              <w:top w:w="56" w:type="dxa"/>
              <w:left w:w="56" w:type="dxa"/>
              <w:bottom w:w="56" w:type="dxa"/>
              <w:right w:w="56" w:type="dxa"/>
            </w:tcMar>
            <w:hideMark/>
          </w:tcPr>
          <w:p w14:paraId="10E2906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Consumption of trans fatty acids as 0–1% of total daily energy</w:t>
            </w:r>
          </w:p>
        </w:tc>
      </w:tr>
      <w:tr w:rsidR="00D06B46" w:rsidRPr="00D06B46" w14:paraId="22156B3D" w14:textId="77777777" w:rsidTr="00D06B46">
        <w:trPr>
          <w:tblCellSpacing w:w="15" w:type="dxa"/>
        </w:trPr>
        <w:tc>
          <w:tcPr>
            <w:tcW w:w="0" w:type="auto"/>
            <w:tcMar>
              <w:top w:w="56" w:type="dxa"/>
              <w:left w:w="56" w:type="dxa"/>
              <w:bottom w:w="56" w:type="dxa"/>
              <w:right w:w="56" w:type="dxa"/>
            </w:tcMar>
            <w:hideMark/>
          </w:tcPr>
          <w:p w14:paraId="73B0234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47470FA6"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0C3022A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Diet high in sodium</w:t>
            </w:r>
          </w:p>
        </w:tc>
        <w:tc>
          <w:tcPr>
            <w:tcW w:w="3605" w:type="dxa"/>
            <w:tcMar>
              <w:top w:w="56" w:type="dxa"/>
              <w:left w:w="56" w:type="dxa"/>
              <w:bottom w:w="56" w:type="dxa"/>
              <w:right w:w="56" w:type="dxa"/>
            </w:tcMar>
            <w:hideMark/>
          </w:tcPr>
          <w:p w14:paraId="2DAE483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24-h urinary sodium measured in g per day</w:t>
            </w:r>
          </w:p>
        </w:tc>
        <w:tc>
          <w:tcPr>
            <w:tcW w:w="3645" w:type="dxa"/>
            <w:tcMar>
              <w:top w:w="56" w:type="dxa"/>
              <w:left w:w="56" w:type="dxa"/>
              <w:bottom w:w="56" w:type="dxa"/>
              <w:right w:w="56" w:type="dxa"/>
            </w:tcMar>
            <w:hideMark/>
          </w:tcPr>
          <w:p w14:paraId="1215673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24-h urinary sodium 1–5 g per day</w:t>
            </w:r>
          </w:p>
        </w:tc>
      </w:tr>
      <w:tr w:rsidR="00D06B46" w:rsidRPr="00D06B46" w14:paraId="1C83F612" w14:textId="77777777" w:rsidTr="00D06B46">
        <w:trPr>
          <w:tblCellSpacing w:w="15" w:type="dxa"/>
        </w:trPr>
        <w:tc>
          <w:tcPr>
            <w:tcW w:w="0" w:type="auto"/>
            <w:tcMar>
              <w:top w:w="56" w:type="dxa"/>
              <w:left w:w="56" w:type="dxa"/>
              <w:bottom w:w="56" w:type="dxa"/>
              <w:right w:w="56" w:type="dxa"/>
            </w:tcMar>
            <w:hideMark/>
          </w:tcPr>
          <w:p w14:paraId="2ABFBB3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187DB500"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2995853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Intimate partner violence</w:t>
            </w:r>
          </w:p>
        </w:tc>
        <w:tc>
          <w:tcPr>
            <w:tcW w:w="3605" w:type="dxa"/>
            <w:tcMar>
              <w:top w:w="56" w:type="dxa"/>
              <w:left w:w="56" w:type="dxa"/>
              <w:bottom w:w="56" w:type="dxa"/>
              <w:right w:w="56" w:type="dxa"/>
            </w:tcMar>
            <w:hideMark/>
          </w:tcPr>
          <w:p w14:paraId="6823412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Proportion of the population who have ever experienced one or more acts of physical or sexual violence by a present or former intimate partner since age 15 years</w:t>
            </w:r>
          </w:p>
        </w:tc>
        <w:tc>
          <w:tcPr>
            <w:tcW w:w="3645" w:type="dxa"/>
            <w:tcMar>
              <w:top w:w="56" w:type="dxa"/>
              <w:left w:w="56" w:type="dxa"/>
              <w:bottom w:w="56" w:type="dxa"/>
              <w:right w:w="56" w:type="dxa"/>
            </w:tcMar>
            <w:hideMark/>
          </w:tcPr>
          <w:p w14:paraId="2B87504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No intimate partner violence</w:t>
            </w:r>
          </w:p>
        </w:tc>
      </w:tr>
      <w:tr w:rsidR="00D06B46" w:rsidRPr="00D06B46" w14:paraId="52D69960" w14:textId="77777777" w:rsidTr="00D06B46">
        <w:trPr>
          <w:tblCellSpacing w:w="15" w:type="dxa"/>
        </w:trPr>
        <w:tc>
          <w:tcPr>
            <w:tcW w:w="0" w:type="auto"/>
            <w:tcMar>
              <w:top w:w="56" w:type="dxa"/>
              <w:left w:w="56" w:type="dxa"/>
              <w:bottom w:w="56" w:type="dxa"/>
              <w:right w:w="56" w:type="dxa"/>
            </w:tcMar>
            <w:hideMark/>
          </w:tcPr>
          <w:p w14:paraId="0D83CF7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lastRenderedPageBreak/>
              <w:t>2</w:t>
            </w:r>
          </w:p>
        </w:tc>
        <w:tc>
          <w:tcPr>
            <w:tcW w:w="0" w:type="auto"/>
            <w:tcMar>
              <w:top w:w="56" w:type="dxa"/>
              <w:left w:w="56" w:type="dxa"/>
              <w:bottom w:w="56" w:type="dxa"/>
              <w:right w:w="56" w:type="dxa"/>
            </w:tcMar>
            <w:hideMark/>
          </w:tcPr>
          <w:p w14:paraId="14BB6B57"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7511B14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Childhood maltreatment</w:t>
            </w:r>
          </w:p>
        </w:tc>
        <w:tc>
          <w:tcPr>
            <w:tcW w:w="3605" w:type="dxa"/>
            <w:tcMar>
              <w:top w:w="56" w:type="dxa"/>
              <w:left w:w="56" w:type="dxa"/>
              <w:bottom w:w="56" w:type="dxa"/>
              <w:right w:w="56" w:type="dxa"/>
            </w:tcMar>
            <w:hideMark/>
          </w:tcPr>
          <w:p w14:paraId="42CB1EB4"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0565A98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72D871D5" w14:textId="77777777" w:rsidTr="00D06B46">
        <w:trPr>
          <w:tblCellSpacing w:w="15" w:type="dxa"/>
        </w:trPr>
        <w:tc>
          <w:tcPr>
            <w:tcW w:w="0" w:type="auto"/>
            <w:tcMar>
              <w:top w:w="56" w:type="dxa"/>
              <w:left w:w="56" w:type="dxa"/>
              <w:bottom w:w="56" w:type="dxa"/>
              <w:right w:w="56" w:type="dxa"/>
            </w:tcMar>
            <w:hideMark/>
          </w:tcPr>
          <w:p w14:paraId="0DC6E24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21E36E93"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2D15BA6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Childhood sexual abuse</w:t>
            </w:r>
          </w:p>
        </w:tc>
        <w:tc>
          <w:tcPr>
            <w:tcW w:w="3605" w:type="dxa"/>
            <w:tcMar>
              <w:top w:w="56" w:type="dxa"/>
              <w:left w:w="56" w:type="dxa"/>
              <w:bottom w:w="56" w:type="dxa"/>
              <w:right w:w="56" w:type="dxa"/>
            </w:tcMar>
            <w:hideMark/>
          </w:tcPr>
          <w:p w14:paraId="359C88F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Proportion of the population ever having had the experience of intercourse or other contact abuse (</w:t>
            </w:r>
            <w:proofErr w:type="spellStart"/>
            <w:r w:rsidRPr="00D06B46">
              <w:rPr>
                <w:rFonts w:ascii="Times New Roman" w:eastAsia="Times New Roman" w:hAnsi="Times New Roman" w:cs="Times New Roman"/>
                <w:kern w:val="0"/>
                <w14:ligatures w14:val="none"/>
              </w:rPr>
              <w:t>ie</w:t>
            </w:r>
            <w:proofErr w:type="spellEnd"/>
            <w:r w:rsidRPr="00D06B46">
              <w:rPr>
                <w:rFonts w:ascii="Times New Roman" w:eastAsia="Times New Roman" w:hAnsi="Times New Roman" w:cs="Times New Roman"/>
                <w:kern w:val="0"/>
                <w14:ligatures w14:val="none"/>
              </w:rPr>
              <w:t>, fondling and other sexual touching) when aged 15 years or younger, and the perpetrator or partner was more than 5 years older than the victim</w:t>
            </w:r>
          </w:p>
        </w:tc>
        <w:tc>
          <w:tcPr>
            <w:tcW w:w="3645" w:type="dxa"/>
            <w:tcMar>
              <w:top w:w="56" w:type="dxa"/>
              <w:left w:w="56" w:type="dxa"/>
              <w:bottom w:w="56" w:type="dxa"/>
              <w:right w:w="56" w:type="dxa"/>
            </w:tcMar>
            <w:hideMark/>
          </w:tcPr>
          <w:p w14:paraId="514012A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No childhood sexual abuse</w:t>
            </w:r>
          </w:p>
        </w:tc>
      </w:tr>
      <w:tr w:rsidR="00D06B46" w:rsidRPr="00D06B46" w14:paraId="65F3C3AF" w14:textId="77777777" w:rsidTr="00D06B46">
        <w:trPr>
          <w:tblCellSpacing w:w="15" w:type="dxa"/>
        </w:trPr>
        <w:tc>
          <w:tcPr>
            <w:tcW w:w="0" w:type="auto"/>
            <w:tcMar>
              <w:top w:w="56" w:type="dxa"/>
              <w:left w:w="56" w:type="dxa"/>
              <w:bottom w:w="56" w:type="dxa"/>
              <w:right w:w="56" w:type="dxa"/>
            </w:tcMar>
            <w:hideMark/>
          </w:tcPr>
          <w:p w14:paraId="7493E818"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3</w:t>
            </w:r>
          </w:p>
        </w:tc>
        <w:tc>
          <w:tcPr>
            <w:tcW w:w="0" w:type="auto"/>
            <w:tcMar>
              <w:top w:w="56" w:type="dxa"/>
              <w:left w:w="56" w:type="dxa"/>
              <w:bottom w:w="56" w:type="dxa"/>
              <w:right w:w="56" w:type="dxa"/>
            </w:tcMar>
            <w:hideMark/>
          </w:tcPr>
          <w:p w14:paraId="693BDA53"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38339AD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Bullying </w:t>
            </w:r>
            <w:proofErr w:type="spellStart"/>
            <w:r w:rsidRPr="00D06B46">
              <w:rPr>
                <w:rFonts w:ascii="Times New Roman" w:eastAsia="Times New Roman" w:hAnsi="Times New Roman" w:cs="Times New Roman"/>
                <w:kern w:val="0"/>
                <w14:ligatures w14:val="none"/>
              </w:rPr>
              <w:t>victimisation</w:t>
            </w:r>
            <w:proofErr w:type="spellEnd"/>
          </w:p>
        </w:tc>
        <w:tc>
          <w:tcPr>
            <w:tcW w:w="3605" w:type="dxa"/>
            <w:tcMar>
              <w:top w:w="56" w:type="dxa"/>
              <w:left w:w="56" w:type="dxa"/>
              <w:bottom w:w="56" w:type="dxa"/>
              <w:right w:w="56" w:type="dxa"/>
            </w:tcMar>
            <w:hideMark/>
          </w:tcPr>
          <w:p w14:paraId="2EC8DBA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Proportion of population attending school who have been exposed to bullying </w:t>
            </w:r>
            <w:proofErr w:type="spellStart"/>
            <w:r w:rsidRPr="00D06B46">
              <w:rPr>
                <w:rFonts w:ascii="Times New Roman" w:eastAsia="Times New Roman" w:hAnsi="Times New Roman" w:cs="Times New Roman"/>
                <w:kern w:val="0"/>
                <w14:ligatures w14:val="none"/>
              </w:rPr>
              <w:t>victimisation</w:t>
            </w:r>
            <w:proofErr w:type="spellEnd"/>
            <w:r w:rsidRPr="00D06B46">
              <w:rPr>
                <w:rFonts w:ascii="Times New Roman" w:eastAsia="Times New Roman" w:hAnsi="Times New Roman" w:cs="Times New Roman"/>
                <w:kern w:val="0"/>
                <w14:ligatures w14:val="none"/>
              </w:rPr>
              <w:t xml:space="preserve"> within the past year</w:t>
            </w:r>
          </w:p>
        </w:tc>
        <w:tc>
          <w:tcPr>
            <w:tcW w:w="3645" w:type="dxa"/>
            <w:tcMar>
              <w:top w:w="56" w:type="dxa"/>
              <w:left w:w="56" w:type="dxa"/>
              <w:bottom w:w="56" w:type="dxa"/>
              <w:right w:w="56" w:type="dxa"/>
            </w:tcMar>
            <w:hideMark/>
          </w:tcPr>
          <w:p w14:paraId="6A9FD84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kern w:val="0"/>
                <w14:ligatures w14:val="none"/>
              </w:rPr>
              <w:t xml:space="preserve">No bullying </w:t>
            </w:r>
            <w:proofErr w:type="spellStart"/>
            <w:r w:rsidRPr="00D06B46">
              <w:rPr>
                <w:rFonts w:ascii="Times New Roman" w:eastAsia="Times New Roman" w:hAnsi="Times New Roman" w:cs="Times New Roman"/>
                <w:kern w:val="0"/>
                <w14:ligatures w14:val="none"/>
              </w:rPr>
              <w:t>victimisation</w:t>
            </w:r>
            <w:proofErr w:type="spellEnd"/>
          </w:p>
        </w:tc>
      </w:tr>
      <w:tr w:rsidR="00D06B46" w:rsidRPr="00D06B46" w14:paraId="5230961D" w14:textId="77777777" w:rsidTr="00D06B46">
        <w:trPr>
          <w:tblCellSpacing w:w="15" w:type="dxa"/>
        </w:trPr>
        <w:tc>
          <w:tcPr>
            <w:tcW w:w="0" w:type="auto"/>
            <w:tcMar>
              <w:top w:w="56" w:type="dxa"/>
              <w:left w:w="56" w:type="dxa"/>
              <w:bottom w:w="56" w:type="dxa"/>
              <w:right w:w="56" w:type="dxa"/>
            </w:tcMar>
            <w:hideMark/>
          </w:tcPr>
          <w:p w14:paraId="53A707A2"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49DCC3BE"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354E2D7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Unsafe sex</w:t>
            </w:r>
          </w:p>
        </w:tc>
        <w:tc>
          <w:tcPr>
            <w:tcW w:w="3605" w:type="dxa"/>
            <w:tcMar>
              <w:top w:w="56" w:type="dxa"/>
              <w:left w:w="56" w:type="dxa"/>
              <w:bottom w:w="56" w:type="dxa"/>
              <w:right w:w="56" w:type="dxa"/>
            </w:tcMar>
            <w:hideMark/>
          </w:tcPr>
          <w:p w14:paraId="1332CEC1"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Proportion of the population with exposure to sexual encounters that convey the risk of disease</w:t>
            </w:r>
          </w:p>
        </w:tc>
        <w:tc>
          <w:tcPr>
            <w:tcW w:w="3645" w:type="dxa"/>
            <w:tcMar>
              <w:top w:w="56" w:type="dxa"/>
              <w:left w:w="56" w:type="dxa"/>
              <w:bottom w:w="56" w:type="dxa"/>
              <w:right w:w="56" w:type="dxa"/>
            </w:tcMar>
            <w:hideMark/>
          </w:tcPr>
          <w:p w14:paraId="1F326F2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No exposure to disease-causing pathogen through sex</w:t>
            </w:r>
          </w:p>
        </w:tc>
      </w:tr>
      <w:tr w:rsidR="00D06B46" w:rsidRPr="00D06B46" w14:paraId="03011975" w14:textId="77777777" w:rsidTr="00D06B46">
        <w:trPr>
          <w:tblCellSpacing w:w="15" w:type="dxa"/>
        </w:trPr>
        <w:tc>
          <w:tcPr>
            <w:tcW w:w="0" w:type="auto"/>
            <w:tcMar>
              <w:top w:w="56" w:type="dxa"/>
              <w:left w:w="56" w:type="dxa"/>
              <w:bottom w:w="56" w:type="dxa"/>
              <w:right w:w="56" w:type="dxa"/>
            </w:tcMar>
            <w:hideMark/>
          </w:tcPr>
          <w:p w14:paraId="2CFBA5BC"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4D11F6E9"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53A2BC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Low physical activity</w:t>
            </w:r>
          </w:p>
        </w:tc>
        <w:tc>
          <w:tcPr>
            <w:tcW w:w="3605" w:type="dxa"/>
            <w:tcMar>
              <w:top w:w="56" w:type="dxa"/>
              <w:left w:w="56" w:type="dxa"/>
              <w:bottom w:w="56" w:type="dxa"/>
              <w:right w:w="56" w:type="dxa"/>
            </w:tcMar>
            <w:hideMark/>
          </w:tcPr>
          <w:p w14:paraId="63AE30A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Average weekly physical activity at work, home, transport-related and recreational measured by MET min per week</w:t>
            </w:r>
          </w:p>
        </w:tc>
        <w:tc>
          <w:tcPr>
            <w:tcW w:w="3645" w:type="dxa"/>
            <w:tcMar>
              <w:top w:w="56" w:type="dxa"/>
              <w:left w:w="56" w:type="dxa"/>
              <w:bottom w:w="56" w:type="dxa"/>
              <w:right w:w="56" w:type="dxa"/>
            </w:tcMar>
            <w:hideMark/>
          </w:tcPr>
          <w:p w14:paraId="2C8E76A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All adults experience 3000–4500 MET min per week</w:t>
            </w:r>
          </w:p>
        </w:tc>
      </w:tr>
      <w:tr w:rsidR="00D06B46" w:rsidRPr="00D06B46" w14:paraId="2684F16E" w14:textId="77777777" w:rsidTr="00D06B46">
        <w:trPr>
          <w:tblCellSpacing w:w="15" w:type="dxa"/>
        </w:trPr>
        <w:tc>
          <w:tcPr>
            <w:tcW w:w="0" w:type="auto"/>
            <w:tcMar>
              <w:top w:w="56" w:type="dxa"/>
              <w:left w:w="56" w:type="dxa"/>
              <w:bottom w:w="56" w:type="dxa"/>
              <w:right w:w="56" w:type="dxa"/>
            </w:tcMar>
            <w:hideMark/>
          </w:tcPr>
          <w:p w14:paraId="5C3A51C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1</w:t>
            </w:r>
          </w:p>
        </w:tc>
        <w:tc>
          <w:tcPr>
            <w:tcW w:w="0" w:type="auto"/>
            <w:gridSpan w:val="3"/>
            <w:tcMar>
              <w:top w:w="56" w:type="dxa"/>
              <w:left w:w="56" w:type="dxa"/>
              <w:bottom w:w="56" w:type="dxa"/>
              <w:right w:w="56" w:type="dxa"/>
            </w:tcMar>
            <w:hideMark/>
          </w:tcPr>
          <w:p w14:paraId="44611D6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Metabolic risks</w:t>
            </w:r>
          </w:p>
        </w:tc>
        <w:tc>
          <w:tcPr>
            <w:tcW w:w="3605" w:type="dxa"/>
            <w:tcMar>
              <w:top w:w="56" w:type="dxa"/>
              <w:left w:w="56" w:type="dxa"/>
              <w:bottom w:w="56" w:type="dxa"/>
              <w:right w:w="56" w:type="dxa"/>
            </w:tcMar>
            <w:hideMark/>
          </w:tcPr>
          <w:p w14:paraId="5CB314B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c>
          <w:tcPr>
            <w:tcW w:w="3645" w:type="dxa"/>
            <w:tcMar>
              <w:top w:w="56" w:type="dxa"/>
              <w:left w:w="56" w:type="dxa"/>
              <w:bottom w:w="56" w:type="dxa"/>
              <w:right w:w="56" w:type="dxa"/>
            </w:tcMar>
            <w:hideMark/>
          </w:tcPr>
          <w:p w14:paraId="5D2FD30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w:t>
            </w:r>
          </w:p>
        </w:tc>
      </w:tr>
      <w:tr w:rsidR="00D06B46" w:rsidRPr="00D06B46" w14:paraId="608911F5" w14:textId="77777777" w:rsidTr="00D06B46">
        <w:trPr>
          <w:tblCellSpacing w:w="15" w:type="dxa"/>
        </w:trPr>
        <w:tc>
          <w:tcPr>
            <w:tcW w:w="0" w:type="auto"/>
            <w:tcMar>
              <w:top w:w="56" w:type="dxa"/>
              <w:left w:w="56" w:type="dxa"/>
              <w:bottom w:w="56" w:type="dxa"/>
              <w:right w:w="56" w:type="dxa"/>
            </w:tcMar>
            <w:hideMark/>
          </w:tcPr>
          <w:p w14:paraId="552EC97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7EF40FDA"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741129C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High fasting plasma glucose</w:t>
            </w:r>
          </w:p>
        </w:tc>
        <w:tc>
          <w:tcPr>
            <w:tcW w:w="3605" w:type="dxa"/>
            <w:tcMar>
              <w:top w:w="56" w:type="dxa"/>
              <w:left w:w="56" w:type="dxa"/>
              <w:bottom w:w="56" w:type="dxa"/>
              <w:right w:w="56" w:type="dxa"/>
            </w:tcMar>
            <w:hideMark/>
          </w:tcPr>
          <w:p w14:paraId="517CED2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Serum fasting plasma glucose measured in mmol/L</w:t>
            </w:r>
          </w:p>
        </w:tc>
        <w:tc>
          <w:tcPr>
            <w:tcW w:w="3645" w:type="dxa"/>
            <w:tcMar>
              <w:top w:w="56" w:type="dxa"/>
              <w:left w:w="56" w:type="dxa"/>
              <w:bottom w:w="56" w:type="dxa"/>
              <w:right w:w="56" w:type="dxa"/>
            </w:tcMar>
            <w:hideMark/>
          </w:tcPr>
          <w:p w14:paraId="40A2784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4·8–5·4 mmol/L</w:t>
            </w:r>
          </w:p>
        </w:tc>
      </w:tr>
      <w:tr w:rsidR="00D06B46" w:rsidRPr="00D06B46" w14:paraId="0EC27A32" w14:textId="77777777" w:rsidTr="00D06B46">
        <w:trPr>
          <w:tblCellSpacing w:w="15" w:type="dxa"/>
        </w:trPr>
        <w:tc>
          <w:tcPr>
            <w:tcW w:w="0" w:type="auto"/>
            <w:tcMar>
              <w:top w:w="56" w:type="dxa"/>
              <w:left w:w="56" w:type="dxa"/>
              <w:bottom w:w="56" w:type="dxa"/>
              <w:right w:w="56" w:type="dxa"/>
            </w:tcMar>
            <w:hideMark/>
          </w:tcPr>
          <w:p w14:paraId="0582D53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073AB0CB"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719D215A"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High low-density lipoprotein cholesterol</w:t>
            </w:r>
          </w:p>
        </w:tc>
        <w:tc>
          <w:tcPr>
            <w:tcW w:w="3605" w:type="dxa"/>
            <w:tcMar>
              <w:top w:w="56" w:type="dxa"/>
              <w:left w:w="56" w:type="dxa"/>
              <w:bottom w:w="56" w:type="dxa"/>
              <w:right w:w="56" w:type="dxa"/>
            </w:tcMar>
            <w:hideMark/>
          </w:tcPr>
          <w:p w14:paraId="34157015"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Serum low-density lipoprotein, measured in mmol/L</w:t>
            </w:r>
          </w:p>
        </w:tc>
        <w:tc>
          <w:tcPr>
            <w:tcW w:w="3645" w:type="dxa"/>
            <w:tcMar>
              <w:top w:w="56" w:type="dxa"/>
              <w:left w:w="56" w:type="dxa"/>
              <w:bottom w:w="56" w:type="dxa"/>
              <w:right w:w="56" w:type="dxa"/>
            </w:tcMar>
            <w:hideMark/>
          </w:tcPr>
          <w:p w14:paraId="3579AF2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0·7–1·3 mmol/L</w:t>
            </w:r>
          </w:p>
        </w:tc>
      </w:tr>
      <w:tr w:rsidR="00D06B46" w:rsidRPr="00D06B46" w14:paraId="297C169A" w14:textId="77777777" w:rsidTr="00D06B46">
        <w:trPr>
          <w:tblCellSpacing w:w="15" w:type="dxa"/>
        </w:trPr>
        <w:tc>
          <w:tcPr>
            <w:tcW w:w="0" w:type="auto"/>
            <w:tcMar>
              <w:top w:w="56" w:type="dxa"/>
              <w:left w:w="56" w:type="dxa"/>
              <w:bottom w:w="56" w:type="dxa"/>
              <w:right w:w="56" w:type="dxa"/>
            </w:tcMar>
            <w:hideMark/>
          </w:tcPr>
          <w:p w14:paraId="55D67B7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lastRenderedPageBreak/>
              <w:t>2</w:t>
            </w:r>
          </w:p>
        </w:tc>
        <w:tc>
          <w:tcPr>
            <w:tcW w:w="0" w:type="auto"/>
            <w:tcMar>
              <w:top w:w="56" w:type="dxa"/>
              <w:left w:w="56" w:type="dxa"/>
              <w:bottom w:w="56" w:type="dxa"/>
              <w:right w:w="56" w:type="dxa"/>
            </w:tcMar>
            <w:hideMark/>
          </w:tcPr>
          <w:p w14:paraId="204BAA59"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11D2E68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High systolic blood pressure</w:t>
            </w:r>
          </w:p>
        </w:tc>
        <w:tc>
          <w:tcPr>
            <w:tcW w:w="3605" w:type="dxa"/>
            <w:tcMar>
              <w:top w:w="56" w:type="dxa"/>
              <w:left w:w="56" w:type="dxa"/>
              <w:bottom w:w="56" w:type="dxa"/>
              <w:right w:w="56" w:type="dxa"/>
            </w:tcMar>
            <w:hideMark/>
          </w:tcPr>
          <w:p w14:paraId="62E3C7B3"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Systolic blood pressure, measured in mm Hg</w:t>
            </w:r>
          </w:p>
        </w:tc>
        <w:tc>
          <w:tcPr>
            <w:tcW w:w="3645" w:type="dxa"/>
            <w:tcMar>
              <w:top w:w="56" w:type="dxa"/>
              <w:left w:w="56" w:type="dxa"/>
              <w:bottom w:w="56" w:type="dxa"/>
              <w:right w:w="56" w:type="dxa"/>
            </w:tcMar>
            <w:hideMark/>
          </w:tcPr>
          <w:p w14:paraId="5771105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110–115 mm Hg</w:t>
            </w:r>
          </w:p>
        </w:tc>
      </w:tr>
      <w:tr w:rsidR="00D06B46" w:rsidRPr="00D06B46" w14:paraId="6386716E" w14:textId="77777777" w:rsidTr="00D06B46">
        <w:trPr>
          <w:tblCellSpacing w:w="15" w:type="dxa"/>
        </w:trPr>
        <w:tc>
          <w:tcPr>
            <w:tcW w:w="0" w:type="auto"/>
            <w:tcMar>
              <w:top w:w="56" w:type="dxa"/>
              <w:left w:w="56" w:type="dxa"/>
              <w:bottom w:w="56" w:type="dxa"/>
              <w:right w:w="56" w:type="dxa"/>
            </w:tcMar>
            <w:hideMark/>
          </w:tcPr>
          <w:p w14:paraId="187BEBF0"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65170F6E"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40B7E67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High body-mass index</w:t>
            </w:r>
          </w:p>
        </w:tc>
        <w:tc>
          <w:tcPr>
            <w:tcW w:w="3605" w:type="dxa"/>
            <w:tcMar>
              <w:top w:w="56" w:type="dxa"/>
              <w:left w:w="56" w:type="dxa"/>
              <w:bottom w:w="56" w:type="dxa"/>
              <w:right w:w="56" w:type="dxa"/>
            </w:tcMar>
            <w:hideMark/>
          </w:tcPr>
          <w:p w14:paraId="6A117EEE"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Body-mass index, measured in kg/m</w:t>
            </w:r>
            <w:r w:rsidRPr="00D06B46">
              <w:rPr>
                <w:rFonts w:ascii="revert" w:eastAsia="Times New Roman" w:hAnsi="revert" w:cs="Times New Roman"/>
                <w:b/>
                <w:bCs/>
                <w:kern w:val="0"/>
                <w:sz w:val="20"/>
                <w:szCs w:val="20"/>
                <w:vertAlign w:val="superscript"/>
                <w14:ligatures w14:val="none"/>
              </w:rPr>
              <w:t>2</w:t>
            </w:r>
          </w:p>
        </w:tc>
        <w:tc>
          <w:tcPr>
            <w:tcW w:w="3645" w:type="dxa"/>
            <w:tcMar>
              <w:top w:w="56" w:type="dxa"/>
              <w:left w:w="56" w:type="dxa"/>
              <w:bottom w:w="56" w:type="dxa"/>
              <w:right w:w="56" w:type="dxa"/>
            </w:tcMar>
            <w:hideMark/>
          </w:tcPr>
          <w:p w14:paraId="3C3F5B8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20–25 kg/m</w:t>
            </w:r>
            <w:r w:rsidRPr="00D06B46">
              <w:rPr>
                <w:rFonts w:ascii="revert" w:eastAsia="Times New Roman" w:hAnsi="revert" w:cs="Times New Roman"/>
                <w:b/>
                <w:bCs/>
                <w:kern w:val="0"/>
                <w:sz w:val="20"/>
                <w:szCs w:val="20"/>
                <w:vertAlign w:val="superscript"/>
                <w14:ligatures w14:val="none"/>
              </w:rPr>
              <w:t>2</w:t>
            </w:r>
          </w:p>
        </w:tc>
      </w:tr>
      <w:tr w:rsidR="00D06B46" w:rsidRPr="00D06B46" w14:paraId="6366DC86" w14:textId="77777777" w:rsidTr="00D06B46">
        <w:trPr>
          <w:tblCellSpacing w:w="15" w:type="dxa"/>
        </w:trPr>
        <w:tc>
          <w:tcPr>
            <w:tcW w:w="0" w:type="auto"/>
            <w:tcMar>
              <w:top w:w="56" w:type="dxa"/>
              <w:left w:w="56" w:type="dxa"/>
              <w:bottom w:w="56" w:type="dxa"/>
              <w:right w:w="56" w:type="dxa"/>
            </w:tcMar>
            <w:hideMark/>
          </w:tcPr>
          <w:p w14:paraId="37BA66C6"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05057D4B"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3EA46509"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Low bone mineral density</w:t>
            </w:r>
          </w:p>
        </w:tc>
        <w:tc>
          <w:tcPr>
            <w:tcW w:w="3605" w:type="dxa"/>
            <w:tcMar>
              <w:top w:w="56" w:type="dxa"/>
              <w:left w:w="56" w:type="dxa"/>
              <w:bottom w:w="56" w:type="dxa"/>
              <w:right w:w="56" w:type="dxa"/>
            </w:tcMar>
            <w:hideMark/>
          </w:tcPr>
          <w:p w14:paraId="43C4EC5A" w14:textId="77777777" w:rsidR="00D06B46" w:rsidRPr="00D06B46" w:rsidRDefault="00D06B46" w:rsidP="00D06B46">
            <w:pPr>
              <w:spacing w:before="450"/>
              <w:rPr>
                <w:rFonts w:ascii="Times New Roman" w:eastAsia="Times New Roman" w:hAnsi="Times New Roman" w:cs="Times New Roman"/>
                <w:kern w:val="0"/>
                <w14:ligatures w14:val="none"/>
              </w:rPr>
            </w:pPr>
            <w:proofErr w:type="spellStart"/>
            <w:r w:rsidRPr="00D06B46">
              <w:rPr>
                <w:rFonts w:ascii="Times New Roman" w:eastAsia="Times New Roman" w:hAnsi="Times New Roman" w:cs="Times New Roman"/>
                <w:b/>
                <w:bCs/>
                <w:kern w:val="0"/>
                <w14:ligatures w14:val="none"/>
              </w:rPr>
              <w:t>Standardised</w:t>
            </w:r>
            <w:proofErr w:type="spellEnd"/>
            <w:r w:rsidRPr="00D06B46">
              <w:rPr>
                <w:rFonts w:ascii="Times New Roman" w:eastAsia="Times New Roman" w:hAnsi="Times New Roman" w:cs="Times New Roman"/>
                <w:b/>
                <w:bCs/>
                <w:kern w:val="0"/>
                <w14:ligatures w14:val="none"/>
              </w:rPr>
              <w:t xml:space="preserve"> mean bone mineral density values measured by dual x-ray absorptiometry at the femoral neck in g/cm</w:t>
            </w:r>
            <w:r w:rsidRPr="00D06B46">
              <w:rPr>
                <w:rFonts w:ascii="revert" w:eastAsia="Times New Roman" w:hAnsi="revert" w:cs="Times New Roman"/>
                <w:b/>
                <w:bCs/>
                <w:kern w:val="0"/>
                <w:sz w:val="20"/>
                <w:szCs w:val="20"/>
                <w:vertAlign w:val="superscript"/>
                <w14:ligatures w14:val="none"/>
              </w:rPr>
              <w:t>2</w:t>
            </w:r>
          </w:p>
        </w:tc>
        <w:tc>
          <w:tcPr>
            <w:tcW w:w="3645" w:type="dxa"/>
            <w:tcMar>
              <w:top w:w="56" w:type="dxa"/>
              <w:left w:w="56" w:type="dxa"/>
              <w:bottom w:w="56" w:type="dxa"/>
              <w:right w:w="56" w:type="dxa"/>
            </w:tcMar>
            <w:hideMark/>
          </w:tcPr>
          <w:p w14:paraId="74AC099D"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99th percentile of NHANES 1988–2014 by age and sex</w:t>
            </w:r>
          </w:p>
        </w:tc>
      </w:tr>
      <w:tr w:rsidR="00D06B46" w:rsidRPr="00D06B46" w14:paraId="2271D8B4" w14:textId="77777777" w:rsidTr="00D06B46">
        <w:trPr>
          <w:tblCellSpacing w:w="15" w:type="dxa"/>
        </w:trPr>
        <w:tc>
          <w:tcPr>
            <w:tcW w:w="0" w:type="auto"/>
            <w:tcMar>
              <w:top w:w="56" w:type="dxa"/>
              <w:left w:w="56" w:type="dxa"/>
              <w:bottom w:w="56" w:type="dxa"/>
              <w:right w:w="56" w:type="dxa"/>
            </w:tcMar>
            <w:hideMark/>
          </w:tcPr>
          <w:p w14:paraId="7C26F02B"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2</w:t>
            </w:r>
          </w:p>
        </w:tc>
        <w:tc>
          <w:tcPr>
            <w:tcW w:w="0" w:type="auto"/>
            <w:tcMar>
              <w:top w:w="56" w:type="dxa"/>
              <w:left w:w="56" w:type="dxa"/>
              <w:bottom w:w="56" w:type="dxa"/>
              <w:right w:w="56" w:type="dxa"/>
            </w:tcMar>
            <w:hideMark/>
          </w:tcPr>
          <w:p w14:paraId="7CD8AC9C" w14:textId="77777777" w:rsidR="00D06B46" w:rsidRPr="00D06B46" w:rsidRDefault="00D06B46" w:rsidP="00D06B46">
            <w:pPr>
              <w:spacing w:before="450"/>
              <w:rPr>
                <w:rFonts w:ascii="Times New Roman" w:eastAsia="Times New Roman" w:hAnsi="Times New Roman" w:cs="Times New Roman"/>
                <w:kern w:val="0"/>
                <w14:ligatures w14:val="none"/>
              </w:rPr>
            </w:pPr>
          </w:p>
        </w:tc>
        <w:tc>
          <w:tcPr>
            <w:tcW w:w="0" w:type="auto"/>
            <w:gridSpan w:val="2"/>
            <w:tcMar>
              <w:top w:w="56" w:type="dxa"/>
              <w:left w:w="56" w:type="dxa"/>
              <w:bottom w:w="56" w:type="dxa"/>
              <w:right w:w="56" w:type="dxa"/>
            </w:tcMar>
            <w:hideMark/>
          </w:tcPr>
          <w:p w14:paraId="1F62DAC7"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Impaired kidney function</w:t>
            </w:r>
          </w:p>
        </w:tc>
        <w:tc>
          <w:tcPr>
            <w:tcW w:w="3605" w:type="dxa"/>
            <w:tcMar>
              <w:top w:w="56" w:type="dxa"/>
              <w:left w:w="56" w:type="dxa"/>
              <w:bottom w:w="56" w:type="dxa"/>
              <w:right w:w="56" w:type="dxa"/>
            </w:tcMar>
            <w:hideMark/>
          </w:tcPr>
          <w:p w14:paraId="2E6FD2B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Proportion of the population with ACR &gt;30 mg/g or GFR &lt;60 mL/min/1·73 m</w:t>
            </w:r>
            <w:r w:rsidRPr="00D06B46">
              <w:rPr>
                <w:rFonts w:ascii="revert" w:eastAsia="Times New Roman" w:hAnsi="revert" w:cs="Times New Roman"/>
                <w:b/>
                <w:bCs/>
                <w:kern w:val="0"/>
                <w:sz w:val="20"/>
                <w:szCs w:val="20"/>
                <w:vertAlign w:val="superscript"/>
                <w14:ligatures w14:val="none"/>
              </w:rPr>
              <w:t>2</w:t>
            </w:r>
            <w:r w:rsidRPr="00D06B46">
              <w:rPr>
                <w:rFonts w:ascii="Times New Roman" w:eastAsia="Times New Roman" w:hAnsi="Times New Roman" w:cs="Times New Roman"/>
                <w:b/>
                <w:bCs/>
                <w:kern w:val="0"/>
                <w14:ligatures w14:val="none"/>
              </w:rPr>
              <w:t>, excluding end-stage renal disease</w:t>
            </w:r>
          </w:p>
        </w:tc>
        <w:tc>
          <w:tcPr>
            <w:tcW w:w="3645" w:type="dxa"/>
            <w:tcMar>
              <w:top w:w="56" w:type="dxa"/>
              <w:left w:w="56" w:type="dxa"/>
              <w:bottom w:w="56" w:type="dxa"/>
              <w:right w:w="56" w:type="dxa"/>
            </w:tcMar>
            <w:hideMark/>
          </w:tcPr>
          <w:p w14:paraId="12F4A3AF" w14:textId="77777777" w:rsidR="00D06B46" w:rsidRPr="00D06B46" w:rsidRDefault="00D06B46" w:rsidP="00D06B46">
            <w:pPr>
              <w:spacing w:before="450"/>
              <w:rPr>
                <w:rFonts w:ascii="Times New Roman" w:eastAsia="Times New Roman" w:hAnsi="Times New Roman" w:cs="Times New Roman"/>
                <w:kern w:val="0"/>
                <w14:ligatures w14:val="none"/>
              </w:rPr>
            </w:pPr>
            <w:r w:rsidRPr="00D06B46">
              <w:rPr>
                <w:rFonts w:ascii="Times New Roman" w:eastAsia="Times New Roman" w:hAnsi="Times New Roman" w:cs="Times New Roman"/>
                <w:b/>
                <w:bCs/>
                <w:kern w:val="0"/>
                <w14:ligatures w14:val="none"/>
              </w:rPr>
              <w:t>GFR &gt;60 mL/min/1·73 m</w:t>
            </w:r>
            <w:r w:rsidRPr="00D06B46">
              <w:rPr>
                <w:rFonts w:ascii="revert" w:eastAsia="Times New Roman" w:hAnsi="revert" w:cs="Times New Roman"/>
                <w:b/>
                <w:bCs/>
                <w:kern w:val="0"/>
                <w:sz w:val="20"/>
                <w:szCs w:val="20"/>
                <w:vertAlign w:val="superscript"/>
                <w14:ligatures w14:val="none"/>
              </w:rPr>
              <w:t>2</w:t>
            </w:r>
            <w:r w:rsidRPr="00D06B46">
              <w:rPr>
                <w:rFonts w:ascii="Times New Roman" w:eastAsia="Times New Roman" w:hAnsi="Times New Roman" w:cs="Times New Roman"/>
                <w:b/>
                <w:bCs/>
                <w:kern w:val="0"/>
                <w14:ligatures w14:val="none"/>
              </w:rPr>
              <w:t> and ACR &lt;30 mg/g</w:t>
            </w:r>
          </w:p>
        </w:tc>
      </w:tr>
    </w:tbl>
    <w:p w14:paraId="04934218" w14:textId="77777777" w:rsidR="00D06B46" w:rsidRPr="00D06B46" w:rsidRDefault="00D06B46" w:rsidP="00D06B46">
      <w:pPr>
        <w:rPr>
          <w:rFonts w:ascii="Cambria" w:eastAsia="Times New Roman" w:hAnsi="Cambria" w:cs="Times New Roman"/>
          <w:color w:val="1B1B1B"/>
          <w:kern w:val="0"/>
          <w:sz w:val="26"/>
          <w:szCs w:val="26"/>
          <w14:ligatures w14:val="none"/>
        </w:rPr>
      </w:pPr>
      <w:r w:rsidRPr="00D06B46">
        <w:rPr>
          <w:rFonts w:ascii="Cambria" w:eastAsia="Times New Roman" w:hAnsi="Cambria" w:cs="Times New Roman"/>
          <w:color w:val="1B1B1B"/>
          <w:kern w:val="0"/>
          <w:sz w:val="26"/>
          <w:szCs w:val="26"/>
          <w14:ligatures w14:val="none"/>
        </w:rPr>
        <w:t xml:space="preserve">The data representativeness index is calculated as the percentage of locations for which we have data </w:t>
      </w:r>
      <w:proofErr w:type="gramStart"/>
      <w:r w:rsidRPr="00D06B46">
        <w:rPr>
          <w:rFonts w:ascii="Cambria" w:eastAsia="Times New Roman" w:hAnsi="Cambria" w:cs="Times New Roman"/>
          <w:color w:val="1B1B1B"/>
          <w:kern w:val="0"/>
          <w:sz w:val="26"/>
          <w:szCs w:val="26"/>
          <w14:ligatures w14:val="none"/>
        </w:rPr>
        <w:t>in a given</w:t>
      </w:r>
      <w:proofErr w:type="gramEnd"/>
      <w:r w:rsidRPr="00D06B46">
        <w:rPr>
          <w:rFonts w:ascii="Cambria" w:eastAsia="Times New Roman" w:hAnsi="Cambria" w:cs="Times New Roman"/>
          <w:color w:val="1B1B1B"/>
          <w:kern w:val="0"/>
          <w:sz w:val="26"/>
          <w:szCs w:val="26"/>
          <w14:ligatures w14:val="none"/>
        </w:rPr>
        <w:t xml:space="preserve"> time period. ACR=albumin-to-creatine ratio. GBD=Global Burden of Diseases, Injuries, and Risk Factors Study. GFR=glomerular filtration rate. MET=metabolic equivalent. NHANES=National Health and Nutrition Examination Survey. PM</w:t>
      </w:r>
      <w:r w:rsidRPr="00D06B46">
        <w:rPr>
          <w:rFonts w:ascii="revert" w:eastAsia="Times New Roman" w:hAnsi="revert" w:cs="Times New Roman"/>
          <w:color w:val="1B1B1B"/>
          <w:kern w:val="0"/>
          <w:sz w:val="22"/>
          <w:szCs w:val="22"/>
          <w:vertAlign w:val="subscript"/>
          <w14:ligatures w14:val="none"/>
        </w:rPr>
        <w:t>2·5</w:t>
      </w:r>
      <w:r w:rsidRPr="00D06B46">
        <w:rPr>
          <w:rFonts w:ascii="Cambria" w:eastAsia="Times New Roman" w:hAnsi="Cambria" w:cs="Times New Roman"/>
          <w:color w:val="1B1B1B"/>
          <w:kern w:val="0"/>
          <w:sz w:val="26"/>
          <w:szCs w:val="26"/>
          <w14:ligatures w14:val="none"/>
        </w:rPr>
        <w:t xml:space="preserve">=particulate matter with an aerodynamic diameter smaller than 2·5 </w:t>
      </w:r>
      <w:proofErr w:type="spellStart"/>
      <w:r w:rsidRPr="00D06B46">
        <w:rPr>
          <w:rFonts w:ascii="Cambria" w:eastAsia="Times New Roman" w:hAnsi="Cambria" w:cs="Times New Roman"/>
          <w:color w:val="1B1B1B"/>
          <w:kern w:val="0"/>
          <w:sz w:val="26"/>
          <w:szCs w:val="26"/>
          <w14:ligatures w14:val="none"/>
        </w:rPr>
        <w:t>μm</w:t>
      </w:r>
      <w:proofErr w:type="spellEnd"/>
      <w:r w:rsidRPr="00D06B46">
        <w:rPr>
          <w:rFonts w:ascii="Cambria" w:eastAsia="Times New Roman" w:hAnsi="Cambria" w:cs="Times New Roman"/>
          <w:color w:val="1B1B1B"/>
          <w:kern w:val="0"/>
          <w:sz w:val="26"/>
          <w:szCs w:val="26"/>
          <w14:ligatures w14:val="none"/>
        </w:rPr>
        <w:t xml:space="preserve">, measured in </w:t>
      </w:r>
      <w:proofErr w:type="spellStart"/>
      <w:r w:rsidRPr="00D06B46">
        <w:rPr>
          <w:rFonts w:ascii="Cambria" w:eastAsia="Times New Roman" w:hAnsi="Cambria" w:cs="Times New Roman"/>
          <w:color w:val="1B1B1B"/>
          <w:kern w:val="0"/>
          <w:sz w:val="26"/>
          <w:szCs w:val="26"/>
          <w14:ligatures w14:val="none"/>
        </w:rPr>
        <w:t>μm</w:t>
      </w:r>
      <w:proofErr w:type="spellEnd"/>
      <w:r w:rsidRPr="00D06B46">
        <w:rPr>
          <w:rFonts w:ascii="Cambria" w:eastAsia="Times New Roman" w:hAnsi="Cambria" w:cs="Times New Roman"/>
          <w:color w:val="1B1B1B"/>
          <w:kern w:val="0"/>
          <w:sz w:val="26"/>
          <w:szCs w:val="26"/>
          <w14:ligatures w14:val="none"/>
        </w:rPr>
        <w:t>/m</w:t>
      </w:r>
      <w:r w:rsidRPr="00D06B46">
        <w:rPr>
          <w:rFonts w:ascii="revert" w:eastAsia="Times New Roman" w:hAnsi="revert" w:cs="Times New Roman"/>
          <w:color w:val="1B1B1B"/>
          <w:kern w:val="0"/>
          <w:sz w:val="22"/>
          <w:szCs w:val="22"/>
          <w:vertAlign w:val="superscript"/>
          <w14:ligatures w14:val="none"/>
        </w:rPr>
        <w:t>3</w:t>
      </w:r>
      <w:r w:rsidRPr="00D06B46">
        <w:rPr>
          <w:rFonts w:ascii="Cambria" w:eastAsia="Times New Roman" w:hAnsi="Cambria" w:cs="Times New Roman"/>
          <w:color w:val="1B1B1B"/>
          <w:kern w:val="0"/>
          <w:sz w:val="26"/>
          <w:szCs w:val="26"/>
          <w14:ligatures w14:val="none"/>
        </w:rPr>
        <w:t>. ppb=parts per billion.</w:t>
      </w:r>
    </w:p>
    <w:p w14:paraId="205B37E3" w14:textId="77777777" w:rsidR="00D06B46" w:rsidRPr="00D06B46" w:rsidRDefault="00D06B46" w:rsidP="00D06B46">
      <w:pPr>
        <w:rPr>
          <w:rFonts w:ascii="Cambria" w:eastAsia="Times New Roman" w:hAnsi="Cambria" w:cs="Times New Roman"/>
          <w:color w:val="1B1B1B"/>
          <w:kern w:val="0"/>
          <w:sz w:val="26"/>
          <w:szCs w:val="26"/>
          <w14:ligatures w14:val="none"/>
        </w:rPr>
      </w:pPr>
      <w:r w:rsidRPr="00D06B46">
        <w:rPr>
          <w:rFonts w:ascii="revert" w:eastAsia="Times New Roman" w:hAnsi="revert" w:cs="Times New Roman"/>
          <w:color w:val="1B1B1B"/>
          <w:kern w:val="0"/>
          <w:sz w:val="22"/>
          <w:szCs w:val="22"/>
          <w:vertAlign w:val="superscript"/>
          <w14:ligatures w14:val="none"/>
        </w:rPr>
        <w:t>*</w:t>
      </w:r>
    </w:p>
    <w:p w14:paraId="667BB689" w14:textId="77777777" w:rsidR="00D06B46" w:rsidRPr="00D06B46" w:rsidRDefault="00D06B46" w:rsidP="00D06B46">
      <w:pPr>
        <w:spacing w:before="450"/>
        <w:rPr>
          <w:rFonts w:ascii="Cambria" w:eastAsia="Times New Roman" w:hAnsi="Cambria" w:cs="Times New Roman"/>
          <w:color w:val="1B1B1B"/>
          <w:kern w:val="0"/>
          <w:sz w:val="26"/>
          <w:szCs w:val="26"/>
          <w14:ligatures w14:val="none"/>
        </w:rPr>
      </w:pPr>
      <w:r w:rsidRPr="00D06B46">
        <w:rPr>
          <w:rFonts w:ascii="Cambria" w:eastAsia="Times New Roman" w:hAnsi="Cambria" w:cs="Times New Roman"/>
          <w:color w:val="1B1B1B"/>
          <w:kern w:val="0"/>
          <w:sz w:val="26"/>
          <w:szCs w:val="26"/>
          <w14:ligatures w14:val="none"/>
        </w:rPr>
        <w:t>In numbered intervals, square brackets indicate included endpoints and round brackets indicate excluded endpoints.</w:t>
      </w:r>
    </w:p>
    <w:p w14:paraId="0458FC66" w14:textId="77777777" w:rsidR="00D06B46" w:rsidRDefault="00D06B46"/>
    <w:sectPr w:rsidR="00D06B4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0FC51" w14:textId="77777777" w:rsidR="00004AF4" w:rsidRDefault="00004AF4" w:rsidP="00D06B46">
      <w:r>
        <w:separator/>
      </w:r>
    </w:p>
  </w:endnote>
  <w:endnote w:type="continuationSeparator" w:id="0">
    <w:p w14:paraId="378E65D7" w14:textId="77777777" w:rsidR="00004AF4" w:rsidRDefault="00004AF4" w:rsidP="00D06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rever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12A1A" w14:textId="77777777" w:rsidR="00004AF4" w:rsidRDefault="00004AF4" w:rsidP="00D06B46">
      <w:r>
        <w:separator/>
      </w:r>
    </w:p>
  </w:footnote>
  <w:footnote w:type="continuationSeparator" w:id="0">
    <w:p w14:paraId="75EFA7FC" w14:textId="77777777" w:rsidR="00004AF4" w:rsidRDefault="00004AF4" w:rsidP="00D06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220D" w14:textId="12EBE97B" w:rsidR="00D06B46" w:rsidRPr="00D06B46" w:rsidRDefault="00D06B46">
    <w:pPr>
      <w:pStyle w:val="Header"/>
      <w:rPr>
        <w:lang w:val="sv-SE"/>
      </w:rPr>
    </w:pPr>
    <w:r>
      <w:rPr>
        <w:lang w:val="sv-SE"/>
      </w:rPr>
      <w:t>GBD 2017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46"/>
    <w:rsid w:val="00004AF4"/>
    <w:rsid w:val="00D06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0708C"/>
  <w15:chartTrackingRefBased/>
  <w15:docId w15:val="{E15C0608-4E9A-C746-A01F-B75ED9613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6B46"/>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B46"/>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D06B4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6B46"/>
    <w:rPr>
      <w:b/>
      <w:bCs/>
    </w:rPr>
  </w:style>
  <w:style w:type="character" w:customStyle="1" w:styleId="apple-converted-space">
    <w:name w:val="apple-converted-space"/>
    <w:basedOn w:val="DefaultParagraphFont"/>
    <w:rsid w:val="00D06B46"/>
  </w:style>
  <w:style w:type="character" w:styleId="Hyperlink">
    <w:name w:val="Hyperlink"/>
    <w:basedOn w:val="DefaultParagraphFont"/>
    <w:uiPriority w:val="99"/>
    <w:semiHidden/>
    <w:unhideWhenUsed/>
    <w:rsid w:val="00D06B46"/>
    <w:rPr>
      <w:color w:val="0000FF"/>
      <w:u w:val="single"/>
    </w:rPr>
  </w:style>
  <w:style w:type="paragraph" w:customStyle="1" w:styleId="display-inline">
    <w:name w:val="display-inline"/>
    <w:basedOn w:val="Normal"/>
    <w:rsid w:val="00D06B46"/>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06B46"/>
    <w:pPr>
      <w:tabs>
        <w:tab w:val="center" w:pos="4680"/>
        <w:tab w:val="right" w:pos="9360"/>
      </w:tabs>
    </w:pPr>
  </w:style>
  <w:style w:type="character" w:customStyle="1" w:styleId="HeaderChar">
    <w:name w:val="Header Char"/>
    <w:basedOn w:val="DefaultParagraphFont"/>
    <w:link w:val="Header"/>
    <w:uiPriority w:val="99"/>
    <w:rsid w:val="00D06B46"/>
  </w:style>
  <w:style w:type="paragraph" w:styleId="Footer">
    <w:name w:val="footer"/>
    <w:basedOn w:val="Normal"/>
    <w:link w:val="FooterChar"/>
    <w:uiPriority w:val="99"/>
    <w:unhideWhenUsed/>
    <w:rsid w:val="00D06B46"/>
    <w:pPr>
      <w:tabs>
        <w:tab w:val="center" w:pos="4680"/>
        <w:tab w:val="right" w:pos="9360"/>
      </w:tabs>
    </w:pPr>
  </w:style>
  <w:style w:type="character" w:customStyle="1" w:styleId="FooterChar">
    <w:name w:val="Footer Char"/>
    <w:basedOn w:val="DefaultParagraphFont"/>
    <w:link w:val="Footer"/>
    <w:uiPriority w:val="99"/>
    <w:rsid w:val="00D06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323687">
      <w:bodyDiv w:val="1"/>
      <w:marLeft w:val="0"/>
      <w:marRight w:val="0"/>
      <w:marTop w:val="0"/>
      <w:marBottom w:val="0"/>
      <w:divBdr>
        <w:top w:val="none" w:sz="0" w:space="0" w:color="auto"/>
        <w:left w:val="none" w:sz="0" w:space="0" w:color="auto"/>
        <w:bottom w:val="none" w:sz="0" w:space="0" w:color="auto"/>
        <w:right w:val="none" w:sz="0" w:space="0" w:color="auto"/>
      </w:divBdr>
      <w:divsChild>
        <w:div w:id="1961648970">
          <w:marLeft w:val="0"/>
          <w:marRight w:val="0"/>
          <w:marTop w:val="450"/>
          <w:marBottom w:val="0"/>
          <w:divBdr>
            <w:top w:val="none" w:sz="0" w:space="0" w:color="auto"/>
            <w:left w:val="none" w:sz="0" w:space="0" w:color="auto"/>
            <w:bottom w:val="none" w:sz="0" w:space="0" w:color="auto"/>
            <w:right w:val="none" w:sz="0" w:space="0" w:color="auto"/>
          </w:divBdr>
        </w:div>
        <w:div w:id="309989576">
          <w:marLeft w:val="0"/>
          <w:marRight w:val="0"/>
          <w:marTop w:val="450"/>
          <w:marBottom w:val="0"/>
          <w:divBdr>
            <w:top w:val="none" w:sz="0" w:space="0" w:color="auto"/>
            <w:left w:val="none" w:sz="0" w:space="0" w:color="auto"/>
            <w:bottom w:val="none" w:sz="0" w:space="0" w:color="auto"/>
            <w:right w:val="none" w:sz="0" w:space="0" w:color="auto"/>
          </w:divBdr>
        </w:div>
        <w:div w:id="881790604">
          <w:marLeft w:val="0"/>
          <w:marRight w:val="0"/>
          <w:marTop w:val="450"/>
          <w:marBottom w:val="0"/>
          <w:divBdr>
            <w:top w:val="none" w:sz="0" w:space="0" w:color="auto"/>
            <w:left w:val="none" w:sz="0" w:space="0" w:color="auto"/>
            <w:bottom w:val="none" w:sz="0" w:space="0" w:color="auto"/>
            <w:right w:val="none" w:sz="0" w:space="0" w:color="auto"/>
          </w:divBdr>
          <w:divsChild>
            <w:div w:id="1337342500">
              <w:marLeft w:val="0"/>
              <w:marRight w:val="0"/>
              <w:marTop w:val="0"/>
              <w:marBottom w:val="0"/>
              <w:divBdr>
                <w:top w:val="none" w:sz="0" w:space="0" w:color="auto"/>
                <w:left w:val="none" w:sz="0" w:space="0" w:color="auto"/>
                <w:bottom w:val="none" w:sz="0" w:space="0" w:color="auto"/>
                <w:right w:val="none" w:sz="0" w:space="0" w:color="auto"/>
              </w:divBdr>
            </w:div>
            <w:div w:id="31989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pmc.ncbi.nlm.nih.gov/articles/PMC6227755/table/tbl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mc.ncbi.nlm.nih.gov/articles/PMC6227755/table/tbl1/"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2197</Words>
  <Characters>12528</Characters>
  <Application>Microsoft Office Word</Application>
  <DocSecurity>0</DocSecurity>
  <Lines>104</Lines>
  <Paragraphs>29</Paragraphs>
  <ScaleCrop>false</ScaleCrop>
  <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Zavalis</dc:creator>
  <cp:keywords/>
  <dc:description/>
  <cp:lastModifiedBy>Emmanuel Zavalis</cp:lastModifiedBy>
  <cp:revision>1</cp:revision>
  <dcterms:created xsi:type="dcterms:W3CDTF">2025-06-28T19:44:00Z</dcterms:created>
  <dcterms:modified xsi:type="dcterms:W3CDTF">2025-06-28T19:45:00Z</dcterms:modified>
</cp:coreProperties>
</file>