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463FF" w14:textId="77777777" w:rsidR="000F3A6D" w:rsidRPr="00C16C8C" w:rsidRDefault="00A00CCA">
      <w:pPr>
        <w:spacing w:before="400"/>
      </w:pPr>
      <w:r w:rsidRPr="00C16C8C">
        <w:rPr>
          <w:b/>
          <w:bCs/>
          <w:color w:val="C75B12"/>
        </w:rPr>
        <w:t>STRICTLY PRIVATE &amp; CONFIDENTIAL</w:t>
      </w:r>
    </w:p>
    <w:p w14:paraId="51CCF4E5" w14:textId="77777777" w:rsidR="000F3A6D" w:rsidRPr="00C16C8C" w:rsidRDefault="00A00CCA">
      <w:pPr>
        <w:spacing w:before="700" w:after="80"/>
      </w:pPr>
      <w:r w:rsidRPr="00C16C8C">
        <w:rPr>
          <w:rFonts w:eastAsia="Georgia"/>
          <w:b/>
          <w:bCs/>
          <w:color w:val="0B1622"/>
          <w:sz w:val="40"/>
          <w:szCs w:val="40"/>
        </w:rPr>
        <w:t>BANGLALINK DIGITAL COMMUNICATIONS LIMITED</w:t>
      </w:r>
    </w:p>
    <w:p w14:paraId="3EDBC511" w14:textId="77777777" w:rsidR="000F3A6D" w:rsidRPr="00C16C8C" w:rsidRDefault="00A00CCA">
      <w:pPr>
        <w:spacing w:after="260"/>
      </w:pPr>
      <w:r w:rsidRPr="00C16C8C">
        <w:rPr>
          <w:rFonts w:eastAsia="Georgia"/>
          <w:b/>
          <w:bCs/>
          <w:color w:val="13263A"/>
          <w:sz w:val="30"/>
          <w:szCs w:val="30"/>
        </w:rPr>
        <w:t>Should Banglalink IPO on the Dhaka Stock Exchange?</w:t>
      </w:r>
    </w:p>
    <w:p w14:paraId="1023E8C8" w14:textId="77777777" w:rsidR="000F3A6D" w:rsidRPr="00C16C8C" w:rsidRDefault="00A00CCA">
      <w:pPr>
        <w:spacing w:after="60"/>
      </w:pPr>
      <w:r w:rsidRPr="00C16C8C">
        <w:rPr>
          <w:i/>
          <w:iCs/>
          <w:color w:val="44576B"/>
          <w:sz w:val="22"/>
          <w:szCs w:val="22"/>
        </w:rPr>
        <w:t>IPO Readiness &amp; Equity Story — Investment Banking Advisory Memorandum</w:t>
      </w:r>
    </w:p>
    <w:p w14:paraId="4CA5FEB2" w14:textId="77777777" w:rsidR="000F3A6D" w:rsidRPr="00C16C8C" w:rsidRDefault="00A00CCA">
      <w:pPr>
        <w:pBdr>
          <w:top w:val="single" w:sz="8" w:space="8" w:color="C75B12"/>
        </w:pBdr>
        <w:spacing w:before="600" w:after="40"/>
      </w:pPr>
      <w:r w:rsidRPr="00C16C8C">
        <w:rPr>
          <w:b/>
          <w:bCs/>
          <w:color w:val="C75B12"/>
          <w:sz w:val="18"/>
          <w:szCs w:val="18"/>
        </w:rPr>
        <w:t>PREPARED FOR</w:t>
      </w:r>
    </w:p>
    <w:p w14:paraId="1728DBCB" w14:textId="77777777" w:rsidR="000F3A6D" w:rsidRPr="00C16C8C" w:rsidRDefault="00A00CCA">
      <w:pPr>
        <w:spacing w:after="240"/>
      </w:pPr>
      <w:r w:rsidRPr="00C16C8C">
        <w:rPr>
          <w:color w:val="222222"/>
        </w:rPr>
        <w:t xml:space="preserve">Banglalink Executive </w:t>
      </w:r>
      <w:proofErr w:type="gramStart"/>
      <w:r w:rsidRPr="00C16C8C">
        <w:rPr>
          <w:color w:val="222222"/>
        </w:rPr>
        <w:t>Committee  |</w:t>
      </w:r>
      <w:proofErr w:type="gramEnd"/>
      <w:r w:rsidRPr="00C16C8C">
        <w:rPr>
          <w:color w:val="222222"/>
        </w:rPr>
        <w:t xml:space="preserve">  VEON Group Investor Relations &amp; Corporate Development  |  Investment Committee</w:t>
      </w:r>
    </w:p>
    <w:p w14:paraId="1584A828" w14:textId="77777777" w:rsidR="000F3A6D" w:rsidRPr="00C16C8C" w:rsidRDefault="00A00CCA">
      <w:pPr>
        <w:spacing w:after="40"/>
      </w:pPr>
      <w:r w:rsidRPr="00C16C8C">
        <w:rPr>
          <w:b/>
          <w:bCs/>
          <w:color w:val="C75B12"/>
          <w:sz w:val="18"/>
          <w:szCs w:val="18"/>
        </w:rPr>
        <w:t>PREPARED BY</w:t>
      </w:r>
    </w:p>
    <w:p w14:paraId="1D33BCDB" w14:textId="5204BF23" w:rsidR="000F3A6D" w:rsidRPr="00C16C8C" w:rsidRDefault="001535EC">
      <w:pPr>
        <w:spacing w:after="240"/>
      </w:pPr>
      <w:r>
        <w:rPr>
          <w:color w:val="222222"/>
        </w:rPr>
        <w:t>S M Zawadul Huq</w:t>
      </w:r>
    </w:p>
    <w:p w14:paraId="64E0EB7B" w14:textId="77777777" w:rsidR="000F3A6D" w:rsidRPr="00C16C8C" w:rsidRDefault="00A00CCA">
      <w:pPr>
        <w:spacing w:after="40"/>
      </w:pPr>
      <w:r w:rsidRPr="00C16C8C">
        <w:rPr>
          <w:b/>
          <w:bCs/>
          <w:color w:val="C75B12"/>
          <w:sz w:val="18"/>
          <w:szCs w:val="18"/>
        </w:rPr>
        <w:t>DATE</w:t>
      </w:r>
    </w:p>
    <w:p w14:paraId="23B6CA4B" w14:textId="6730E690" w:rsidR="000F3A6D" w:rsidRPr="00C16C8C" w:rsidRDefault="001535EC">
      <w:pPr>
        <w:spacing w:after="500"/>
      </w:pPr>
      <w:r>
        <w:rPr>
          <w:color w:val="222222"/>
        </w:rPr>
        <w:t xml:space="preserve">10 </w:t>
      </w:r>
      <w:r w:rsidR="00A00CCA" w:rsidRPr="00C16C8C">
        <w:rPr>
          <w:color w:val="222222"/>
        </w:rPr>
        <w:t>July 2026</w:t>
      </w:r>
    </w:p>
    <w:p w14:paraId="367B5558" w14:textId="77777777" w:rsidR="000F3A6D" w:rsidRPr="00C16C8C" w:rsidRDefault="00A00CCA">
      <w:pPr>
        <w:shd w:val="clear" w:color="auto" w:fill="F2F3F4"/>
        <w:spacing w:before="200"/>
      </w:pPr>
      <w:r w:rsidRPr="00C16C8C">
        <w:rPr>
          <w:i/>
          <w:iCs/>
          <w:color w:val="44576B"/>
          <w:sz w:val="16"/>
          <w:szCs w:val="16"/>
        </w:rPr>
        <w:t>This document is a discussion draft prepared for internal deliberation only. It is not a prospectus, research report, or offer of securities. Financial information not explicitly attributed to a public source is an internal estima</w:t>
      </w:r>
      <w:r w:rsidRPr="00C16C8C">
        <w:rPr>
          <w:i/>
          <w:iCs/>
          <w:color w:val="44576B"/>
          <w:sz w:val="16"/>
          <w:szCs w:val="16"/>
        </w:rPr>
        <w:t>te or illustrative assumption, flagged accordingly throughout. This compilation reflects the sections drafted to date in this workstream (Executive Summary; Industry Overview; Strategic Analysis; IPO Advisory; Valuation Framework; Risk Analysis; Concluding</w:t>
      </w:r>
      <w:r w:rsidRPr="00C16C8C">
        <w:rPr>
          <w:i/>
          <w:iCs/>
          <w:color w:val="44576B"/>
          <w:sz w:val="16"/>
          <w:szCs w:val="16"/>
        </w:rPr>
        <w:t xml:space="preserve"> Recommendation). Sections covering Mandate &amp; Methodology, detailed Company Overview, Financial Performance detail, IPO Structuring detail, Regulatory/Legal detail, Implementation Roadmap, and Appendices remain to be drafted and are noted at the point they</w:t>
      </w:r>
      <w:r w:rsidRPr="00C16C8C">
        <w:rPr>
          <w:i/>
          <w:iCs/>
          <w:color w:val="44576B"/>
          <w:sz w:val="16"/>
          <w:szCs w:val="16"/>
        </w:rPr>
        <w:t xml:space="preserve"> would appear.</w:t>
      </w:r>
    </w:p>
    <w:p w14:paraId="11628F4E" w14:textId="1C7B9659" w:rsidR="000F3A6D" w:rsidRPr="00C16C8C" w:rsidRDefault="00A00CCA" w:rsidP="00C16C8C">
      <w:r w:rsidRPr="00C16C8C">
        <w:br w:type="page"/>
      </w:r>
    </w:p>
    <w:sdt>
      <w:sdtPr>
        <w:alias w:val="Table of Contents"/>
        <w:id w:val="1807277676"/>
      </w:sdtPr>
      <w:sdtEndPr>
        <w:rPr>
          <w:sz w:val="20"/>
          <w:szCs w:val="20"/>
        </w:rPr>
      </w:sdtEndPr>
      <w:sdtContent>
        <w:p w14:paraId="71B943B0" w14:textId="5F2BBE32" w:rsidR="00C16C8C" w:rsidRPr="00C16C8C" w:rsidRDefault="00C16C8C" w:rsidP="00C16C8C">
          <w:pPr>
            <w:pStyle w:val="Title"/>
          </w:pPr>
          <w:r w:rsidRPr="00C16C8C">
            <w:t>Table of Content</w:t>
          </w:r>
        </w:p>
        <w:sdt>
          <w:sdtPr>
            <w:rPr>
              <w:rFonts w:ascii="Times New Roman" w:hAnsi="Times New Roman" w:cs="Times New Roman"/>
            </w:rPr>
            <w:id w:val="446439410"/>
            <w:docPartObj>
              <w:docPartGallery w:val="Table of Contents"/>
              <w:docPartUnique/>
            </w:docPartObj>
          </w:sdtPr>
          <w:sdtEndPr>
            <w:rPr>
              <w:rFonts w:eastAsia="Times New Roman"/>
              <w:b/>
              <w:bCs/>
              <w:noProof/>
              <w:color w:val="auto"/>
              <w:sz w:val="20"/>
              <w:szCs w:val="20"/>
            </w:rPr>
          </w:sdtEndPr>
          <w:sdtContent>
            <w:p w14:paraId="6B66A60E" w14:textId="536A6F84" w:rsidR="00C16C8C" w:rsidRPr="00C16C8C" w:rsidRDefault="00C16C8C">
              <w:pPr>
                <w:pStyle w:val="TOCHeading"/>
                <w:rPr>
                  <w:rFonts w:ascii="Times New Roman" w:hAnsi="Times New Roman" w:cs="Times New Roman"/>
                </w:rPr>
              </w:pPr>
            </w:p>
            <w:p w14:paraId="5BFD4F4F" w14:textId="010DF32F" w:rsidR="00C16C8C" w:rsidRPr="00C16C8C" w:rsidRDefault="00C16C8C"/>
          </w:sdtContent>
        </w:sdt>
        <w:p w14:paraId="51558674" w14:textId="7BFCF089" w:rsidR="00C16C8C" w:rsidRPr="00C16C8C" w:rsidRDefault="00A00CCA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r w:rsidRPr="00C16C8C">
            <w:fldChar w:fldCharType="begin"/>
          </w:r>
          <w:r w:rsidRPr="00C16C8C">
            <w:instrText>TOC \h \o "1-2"</w:instrText>
          </w:r>
          <w:r w:rsidRPr="00C16C8C">
            <w:fldChar w:fldCharType="separate"/>
          </w:r>
          <w:hyperlink w:anchor="_Toc236781212" w:history="1">
            <w:r w:rsidR="00C16C8C" w:rsidRPr="00C16C8C">
              <w:rPr>
                <w:rStyle w:val="Hyperlink"/>
                <w:rFonts w:eastAsia="Georgia"/>
                <w:b/>
                <w:bCs/>
                <w:noProof/>
              </w:rPr>
              <w:t>1.  EXECUTIVE SUMMARY</w:t>
            </w:r>
            <w:r w:rsidR="00C16C8C" w:rsidRPr="00C16C8C">
              <w:rPr>
                <w:noProof/>
              </w:rPr>
              <w:tab/>
            </w:r>
            <w:r w:rsidR="00C16C8C" w:rsidRPr="00C16C8C">
              <w:rPr>
                <w:noProof/>
              </w:rPr>
              <w:fldChar w:fldCharType="begin"/>
            </w:r>
            <w:r w:rsidR="00C16C8C" w:rsidRPr="00C16C8C">
              <w:rPr>
                <w:noProof/>
              </w:rPr>
              <w:instrText xml:space="preserve"> PAGEREF _Toc236781212 \h </w:instrText>
            </w:r>
            <w:r w:rsidR="00C16C8C" w:rsidRPr="00C16C8C">
              <w:rPr>
                <w:noProof/>
              </w:rPr>
            </w:r>
            <w:r w:rsidR="00C16C8C"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4</w:t>
            </w:r>
            <w:r w:rsidR="00C16C8C" w:rsidRPr="00C16C8C">
              <w:rPr>
                <w:noProof/>
              </w:rPr>
              <w:fldChar w:fldCharType="end"/>
            </w:r>
          </w:hyperlink>
        </w:p>
        <w:p w14:paraId="5913F1C5" w14:textId="150AB60A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13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Recommendation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_Toc236781213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4</w:t>
            </w:r>
            <w:r w:rsidRPr="00C16C8C">
              <w:rPr>
                <w:noProof/>
              </w:rPr>
              <w:fldChar w:fldCharType="end"/>
            </w:r>
          </w:hyperlink>
        </w:p>
        <w:p w14:paraId="6D2F0667" w14:textId="41649E6C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14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IPO Rationale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_Toc236781214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4</w:t>
            </w:r>
            <w:r w:rsidRPr="00C16C8C">
              <w:rPr>
                <w:noProof/>
              </w:rPr>
              <w:fldChar w:fldCharType="end"/>
            </w:r>
          </w:hyperlink>
        </w:p>
        <w:p w14:paraId="40159694" w14:textId="4821CBDB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15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Expected Valuation Approach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_Toc236781215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4</w:t>
            </w:r>
            <w:r w:rsidRPr="00C16C8C">
              <w:rPr>
                <w:noProof/>
              </w:rPr>
              <w:fldChar w:fldCharType="end"/>
            </w:r>
          </w:hyperlink>
        </w:p>
        <w:p w14:paraId="173E7AAB" w14:textId="4E0C2AC0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16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Capital Allocation Priorities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_Toc236781216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4</w:t>
            </w:r>
            <w:r w:rsidRPr="00C16C8C">
              <w:rPr>
                <w:noProof/>
              </w:rPr>
              <w:fldChar w:fldCharType="end"/>
            </w:r>
          </w:hyperlink>
        </w:p>
        <w:p w14:paraId="52F4AFDC" w14:textId="3FBE8BC7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17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Key Risks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_Toc236781217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4</w:t>
            </w:r>
            <w:r w:rsidRPr="00C16C8C">
              <w:rPr>
                <w:noProof/>
              </w:rPr>
              <w:fldChar w:fldCharType="end"/>
            </w:r>
          </w:hyperlink>
        </w:p>
        <w:p w14:paraId="100B7E8A" w14:textId="3C99B16E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18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Strategic Conclusion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_Toc236781218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5</w:t>
            </w:r>
            <w:r w:rsidRPr="00C16C8C">
              <w:rPr>
                <w:noProof/>
              </w:rPr>
              <w:fldChar w:fldCharType="end"/>
            </w:r>
          </w:hyperlink>
        </w:p>
        <w:p w14:paraId="24023207" w14:textId="6A9F4615" w:rsidR="00C16C8C" w:rsidRPr="00C16C8C" w:rsidRDefault="00C16C8C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19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4.  BANGLADESH TELECOM INDUSTRY OVERVIEW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_Toc236781219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6</w:t>
            </w:r>
            <w:r w:rsidRPr="00C16C8C">
              <w:rPr>
                <w:noProof/>
              </w:rPr>
              <w:fldChar w:fldCharType="end"/>
            </w:r>
          </w:hyperlink>
        </w:p>
        <w:p w14:paraId="0345EB5F" w14:textId="5AF9BE6F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20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4.1  Market Size &amp; Structure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_Toc236781220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6</w:t>
            </w:r>
            <w:r w:rsidRPr="00C16C8C">
              <w:rPr>
                <w:noProof/>
              </w:rPr>
              <w:fldChar w:fldCharType="end"/>
            </w:r>
          </w:hyperlink>
        </w:p>
        <w:p w14:paraId="2C635129" w14:textId="66035D23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21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4.2  Subscriber Growth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_Toc236781221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6</w:t>
            </w:r>
            <w:r w:rsidRPr="00C16C8C">
              <w:rPr>
                <w:noProof/>
              </w:rPr>
              <w:fldChar w:fldCharType="end"/>
            </w:r>
          </w:hyperlink>
        </w:p>
        <w:p w14:paraId="792D6DD5" w14:textId="18668CB1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22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4.3  ARPU Trends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_Toc236781222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7</w:t>
            </w:r>
            <w:r w:rsidRPr="00C16C8C">
              <w:rPr>
                <w:noProof/>
              </w:rPr>
              <w:fldChar w:fldCharType="end"/>
            </w:r>
          </w:hyperlink>
        </w:p>
        <w:p w14:paraId="5EDB7059" w14:textId="1CF9C261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23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4.4  Smartphone Penetration &amp; 4.5  Data Consumption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_Toc236781223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7</w:t>
            </w:r>
            <w:r w:rsidRPr="00C16C8C">
              <w:rPr>
                <w:noProof/>
              </w:rPr>
              <w:fldChar w:fldCharType="end"/>
            </w:r>
          </w:hyperlink>
        </w:p>
        <w:p w14:paraId="2371FCCC" w14:textId="661C648A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24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4.6  4G Coverage &amp; Migration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_Toc236781224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7</w:t>
            </w:r>
            <w:r w:rsidRPr="00C16C8C">
              <w:rPr>
                <w:noProof/>
              </w:rPr>
              <w:fldChar w:fldCharType="end"/>
            </w:r>
          </w:hyperlink>
        </w:p>
        <w:p w14:paraId="66FBD840" w14:textId="331D7C5D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25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4.7  5G Readiness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_Toc236781225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8</w:t>
            </w:r>
            <w:r w:rsidRPr="00C16C8C">
              <w:rPr>
                <w:noProof/>
              </w:rPr>
              <w:fldChar w:fldCharType="end"/>
            </w:r>
          </w:hyperlink>
        </w:p>
        <w:p w14:paraId="66A40DA7" w14:textId="5953E231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26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4.8  Competitive Dynamics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_Toc236781226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8</w:t>
            </w:r>
            <w:r w:rsidRPr="00C16C8C">
              <w:rPr>
                <w:noProof/>
              </w:rPr>
              <w:fldChar w:fldCharType="end"/>
            </w:r>
          </w:hyperlink>
        </w:p>
        <w:p w14:paraId="3EACA9EB" w14:textId="2080185B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27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4.9  Government Regulation &amp; BTRC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_Toc236781227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8</w:t>
            </w:r>
            <w:r w:rsidRPr="00C16C8C">
              <w:rPr>
                <w:noProof/>
              </w:rPr>
              <w:fldChar w:fldCharType="end"/>
            </w:r>
          </w:hyperlink>
        </w:p>
        <w:p w14:paraId="00FF6595" w14:textId="5B5CBF76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28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4.10  Future Opportunities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_Toc236781228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8</w:t>
            </w:r>
            <w:r w:rsidRPr="00C16C8C">
              <w:rPr>
                <w:noProof/>
              </w:rPr>
              <w:fldChar w:fldCharType="end"/>
            </w:r>
          </w:hyperlink>
        </w:p>
        <w:p w14:paraId="60E8A3FF" w14:textId="32FF5388" w:rsidR="00C16C8C" w:rsidRPr="00C16C8C" w:rsidRDefault="00C16C8C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29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  STRATEGIC ANALYSIS: BANGLALINK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_Toc236781229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9</w:t>
            </w:r>
            <w:r w:rsidRPr="00C16C8C">
              <w:rPr>
                <w:noProof/>
              </w:rPr>
              <w:fldChar w:fldCharType="end"/>
            </w:r>
          </w:hyperlink>
        </w:p>
        <w:p w14:paraId="57E8678C" w14:textId="5A2BB945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30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5.1  Business Model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_Toc236781230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9</w:t>
            </w:r>
            <w:r w:rsidRPr="00C16C8C">
              <w:rPr>
                <w:noProof/>
              </w:rPr>
              <w:fldChar w:fldCharType="end"/>
            </w:r>
          </w:hyperlink>
        </w:p>
        <w:p w14:paraId="09D9391C" w14:textId="7DB3D1D0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31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5.2  Revenue Sources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_Toc236781231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9</w:t>
            </w:r>
            <w:r w:rsidRPr="00C16C8C">
              <w:rPr>
                <w:noProof/>
              </w:rPr>
              <w:fldChar w:fldCharType="end"/>
            </w:r>
          </w:hyperlink>
        </w:p>
        <w:p w14:paraId="6D709314" w14:textId="6B25282C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32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5.3  Customer Segments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_Toc236781232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9</w:t>
            </w:r>
            <w:r w:rsidRPr="00C16C8C">
              <w:rPr>
                <w:noProof/>
              </w:rPr>
              <w:fldChar w:fldCharType="end"/>
            </w:r>
          </w:hyperlink>
        </w:p>
        <w:p w14:paraId="12C7510B" w14:textId="3DBF027B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33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5.4  Competitive Advantages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_Toc236781233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9</w:t>
            </w:r>
            <w:r w:rsidRPr="00C16C8C">
              <w:rPr>
                <w:noProof/>
              </w:rPr>
              <w:fldChar w:fldCharType="end"/>
            </w:r>
          </w:hyperlink>
        </w:p>
        <w:p w14:paraId="037CC055" w14:textId="1894F55D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34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5.5  Weaknesses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_Toc236781234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9</w:t>
            </w:r>
            <w:r w:rsidRPr="00C16C8C">
              <w:rPr>
                <w:noProof/>
              </w:rPr>
              <w:fldChar w:fldCharType="end"/>
            </w:r>
          </w:hyperlink>
        </w:p>
        <w:p w14:paraId="63EB2C3B" w14:textId="77F99973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35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5.6  Operational Performance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_Toc236781235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9</w:t>
            </w:r>
            <w:r w:rsidRPr="00C16C8C">
              <w:rPr>
                <w:noProof/>
              </w:rPr>
              <w:fldChar w:fldCharType="end"/>
            </w:r>
          </w:hyperlink>
        </w:p>
        <w:p w14:paraId="500CCBD8" w14:textId="10E3EA1C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36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5.7  Digital Services Portfolio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_Toc236781236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10</w:t>
            </w:r>
            <w:r w:rsidRPr="00C16C8C">
              <w:rPr>
                <w:noProof/>
              </w:rPr>
              <w:fldChar w:fldCharType="end"/>
            </w:r>
          </w:hyperlink>
        </w:p>
        <w:p w14:paraId="15F4F357" w14:textId="10E726DD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37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5.8  Strategic Positioning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_Toc236781237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10</w:t>
            </w:r>
            <w:r w:rsidRPr="00C16C8C">
              <w:rPr>
                <w:noProof/>
              </w:rPr>
              <w:fldChar w:fldCharType="end"/>
            </w:r>
          </w:hyperlink>
        </w:p>
        <w:p w14:paraId="71280A39" w14:textId="11EF0485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38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5.9  Porter's Five Forces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_Toc236781238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11</w:t>
            </w:r>
            <w:r w:rsidRPr="00C16C8C">
              <w:rPr>
                <w:noProof/>
              </w:rPr>
              <w:fldChar w:fldCharType="end"/>
            </w:r>
          </w:hyperlink>
        </w:p>
        <w:p w14:paraId="281D20B3" w14:textId="542B02AF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39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5.10  SWOT Analysis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_Toc236781239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11</w:t>
            </w:r>
            <w:r w:rsidRPr="00C16C8C">
              <w:rPr>
                <w:noProof/>
              </w:rPr>
              <w:fldChar w:fldCharType="end"/>
            </w:r>
          </w:hyperlink>
        </w:p>
        <w:p w14:paraId="007C2D67" w14:textId="1C6FE9E0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40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5.11  Value Chain Analysis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_Toc236781240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12</w:t>
            </w:r>
            <w:r w:rsidRPr="00C16C8C">
              <w:rPr>
                <w:noProof/>
              </w:rPr>
              <w:fldChar w:fldCharType="end"/>
            </w:r>
          </w:hyperlink>
        </w:p>
        <w:p w14:paraId="36E668A3" w14:textId="26C59607" w:rsidR="00C16C8C" w:rsidRPr="00C16C8C" w:rsidRDefault="00C16C8C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41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7.  IPO ADVISORY: WHY SHOULD BANGLALINK GO PUBLIC?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_Toc236781241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13</w:t>
            </w:r>
            <w:r w:rsidRPr="00C16C8C">
              <w:rPr>
                <w:noProof/>
              </w:rPr>
              <w:fldChar w:fldCharType="end"/>
            </w:r>
          </w:hyperlink>
        </w:p>
        <w:p w14:paraId="4049131A" w14:textId="37B75199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42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7.1  Rationale Assessment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_Toc236781242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13</w:t>
            </w:r>
            <w:r w:rsidRPr="00C16C8C">
              <w:rPr>
                <w:noProof/>
              </w:rPr>
              <w:fldChar w:fldCharType="end"/>
            </w:r>
          </w:hyperlink>
        </w:p>
        <w:p w14:paraId="4E6EA23D" w14:textId="4896251C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43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7.2  Disadvantages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_Toc236781243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13</w:t>
            </w:r>
            <w:r w:rsidRPr="00C16C8C">
              <w:rPr>
                <w:noProof/>
              </w:rPr>
              <w:fldChar w:fldCharType="end"/>
            </w:r>
          </w:hyperlink>
        </w:p>
        <w:p w14:paraId="0552D72E" w14:textId="68B69F38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44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7.3  Balanced Recommendation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_Toc236781244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13</w:t>
            </w:r>
            <w:r w:rsidRPr="00C16C8C">
              <w:rPr>
                <w:noProof/>
              </w:rPr>
              <w:fldChar w:fldCharType="end"/>
            </w:r>
          </w:hyperlink>
        </w:p>
        <w:p w14:paraId="5615AB18" w14:textId="4796B949" w:rsidR="00C16C8C" w:rsidRPr="00C16C8C" w:rsidRDefault="00C16C8C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45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9.  VALUATION FRAMEWORK RECOMMENDATION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_Toc236781245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15</w:t>
            </w:r>
            <w:r w:rsidRPr="00C16C8C">
              <w:rPr>
                <w:noProof/>
              </w:rPr>
              <w:fldChar w:fldCharType="end"/>
            </w:r>
          </w:hyperlink>
        </w:p>
        <w:p w14:paraId="18519814" w14:textId="7DCC9C69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46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9.1  Methodology Comparison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_Toc236781246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15</w:t>
            </w:r>
            <w:r w:rsidRPr="00C16C8C">
              <w:rPr>
                <w:noProof/>
              </w:rPr>
              <w:fldChar w:fldCharType="end"/>
            </w:r>
          </w:hyperlink>
        </w:p>
        <w:p w14:paraId="0D440160" w14:textId="6EEF0AFA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47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9.2  Multiple-by-Multiple Assessment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_Toc236781247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15</w:t>
            </w:r>
            <w:r w:rsidRPr="00C16C8C">
              <w:rPr>
                <w:noProof/>
              </w:rPr>
              <w:fldChar w:fldCharType="end"/>
            </w:r>
          </w:hyperlink>
        </w:p>
        <w:p w14:paraId="04F565A5" w14:textId="01520D35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48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9.3  Assumptions Required Before Any Number Can Be Produced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_Toc236781248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15</w:t>
            </w:r>
            <w:r w:rsidRPr="00C16C8C">
              <w:rPr>
                <w:noProof/>
              </w:rPr>
              <w:fldChar w:fldCharType="end"/>
            </w:r>
          </w:hyperlink>
        </w:p>
        <w:p w14:paraId="55490D08" w14:textId="52983A03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49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9.4  Illustrative Football Field (Discussion Scaffold)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_Toc236781249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16</w:t>
            </w:r>
            <w:r w:rsidRPr="00C16C8C">
              <w:rPr>
                <w:noProof/>
              </w:rPr>
              <w:fldChar w:fldCharType="end"/>
            </w:r>
          </w:hyperlink>
        </w:p>
        <w:p w14:paraId="6E85DE8B" w14:textId="698AEECE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50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9.5  Excel Model Structure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_Toc236781250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16</w:t>
            </w:r>
            <w:r w:rsidRPr="00C16C8C">
              <w:rPr>
                <w:noProof/>
              </w:rPr>
              <w:fldChar w:fldCharType="end"/>
            </w:r>
          </w:hyperlink>
        </w:p>
        <w:p w14:paraId="20B77741" w14:textId="7C1A5260" w:rsidR="00C16C8C" w:rsidRPr="00C16C8C" w:rsidRDefault="00C16C8C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51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12.  RISK ANALYSIS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_Toc236781251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18</w:t>
            </w:r>
            <w:r w:rsidRPr="00C16C8C">
              <w:rPr>
                <w:noProof/>
              </w:rPr>
              <w:fldChar w:fldCharType="end"/>
            </w:r>
          </w:hyperlink>
        </w:p>
        <w:p w14:paraId="3966BCB9" w14:textId="0FC70296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52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12.1  Risk Register &amp; Mitigations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_Toc236781252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18</w:t>
            </w:r>
            <w:r w:rsidRPr="00C16C8C">
              <w:rPr>
                <w:noProof/>
              </w:rPr>
              <w:fldChar w:fldCharType="end"/>
            </w:r>
          </w:hyperlink>
        </w:p>
        <w:p w14:paraId="3562E351" w14:textId="00B7A05C" w:rsidR="00C16C8C" w:rsidRPr="00C16C8C" w:rsidRDefault="00C16C8C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53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13.  CONCLUDING RECOMMENDATION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_Toc236781253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20</w:t>
            </w:r>
            <w:r w:rsidRPr="00C16C8C">
              <w:rPr>
                <w:noProof/>
              </w:rPr>
              <w:fldChar w:fldCharType="end"/>
            </w:r>
          </w:hyperlink>
        </w:p>
        <w:p w14:paraId="2DB779A9" w14:textId="63FE8FAA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54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13.1  The Recommendation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_Toc236781254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20</w:t>
            </w:r>
            <w:r w:rsidRPr="00C16C8C">
              <w:rPr>
                <w:noProof/>
              </w:rPr>
              <w:fldChar w:fldCharType="end"/>
            </w:r>
          </w:hyperlink>
        </w:p>
        <w:p w14:paraId="72C31D10" w14:textId="4FABB0EC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55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13.2  Conditions Precedent to Filing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_Toc236781255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20</w:t>
            </w:r>
            <w:r w:rsidRPr="00C16C8C">
              <w:rPr>
                <w:noProof/>
              </w:rPr>
              <w:fldChar w:fldCharType="end"/>
            </w:r>
          </w:hyperlink>
        </w:p>
        <w:p w14:paraId="423ED264" w14:textId="43293D17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56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13.3  Suggested Timing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_Toc236781256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20</w:t>
            </w:r>
            <w:r w:rsidRPr="00C16C8C">
              <w:rPr>
                <w:noProof/>
              </w:rPr>
              <w:fldChar w:fldCharType="end"/>
            </w:r>
          </w:hyperlink>
        </w:p>
        <w:p w14:paraId="7F1A2F99" w14:textId="0CC5C46D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57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13.4  Preparatory Actions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_Toc236781257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20</w:t>
            </w:r>
            <w:r w:rsidRPr="00C16C8C">
              <w:rPr>
                <w:noProof/>
              </w:rPr>
              <w:fldChar w:fldCharType="end"/>
            </w:r>
          </w:hyperlink>
        </w:p>
        <w:p w14:paraId="2AA108A7" w14:textId="070FA90C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58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13.5  Governance Improvements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_Toc236781258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20</w:t>
            </w:r>
            <w:r w:rsidRPr="00C16C8C">
              <w:rPr>
                <w:noProof/>
              </w:rPr>
              <w:fldChar w:fldCharType="end"/>
            </w:r>
          </w:hyperlink>
        </w:p>
        <w:p w14:paraId="7ED5C31C" w14:textId="47534350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59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13.6  Capital Allocation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_Toc236781259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20</w:t>
            </w:r>
            <w:r w:rsidRPr="00C16C8C">
              <w:rPr>
                <w:noProof/>
              </w:rPr>
              <w:fldChar w:fldCharType="end"/>
            </w:r>
          </w:hyperlink>
        </w:p>
        <w:p w14:paraId="69AAFE35" w14:textId="1817D0DF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60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13.7  Investor Messaging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_Toc236781260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20</w:t>
            </w:r>
            <w:r w:rsidRPr="00C16C8C">
              <w:rPr>
                <w:noProof/>
              </w:rPr>
              <w:fldChar w:fldCharType="end"/>
            </w:r>
          </w:hyperlink>
        </w:p>
        <w:p w14:paraId="5FE72CF7" w14:textId="01CD8C24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61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13.8  Final Word to the Board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_Toc236781261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21</w:t>
            </w:r>
            <w:r w:rsidRPr="00C16C8C">
              <w:rPr>
                <w:noProof/>
              </w:rPr>
              <w:fldChar w:fldCharType="end"/>
            </w:r>
          </w:hyperlink>
        </w:p>
        <w:p w14:paraId="42B4E748" w14:textId="3C2F5DDA" w:rsidR="00C16C8C" w:rsidRPr="00C16C8C" w:rsidRDefault="00C16C8C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62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APPENDIX — REPORT STATUS &amp; SOURCE SUMMARY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_Toc236781262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22</w:t>
            </w:r>
            <w:r w:rsidRPr="00C16C8C">
              <w:rPr>
                <w:noProof/>
              </w:rPr>
              <w:fldChar w:fldCharType="end"/>
            </w:r>
          </w:hyperlink>
        </w:p>
        <w:p w14:paraId="3119900C" w14:textId="56377793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63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Changelog — VEON Integrated Annual Report 2025 Cross-Check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_Toc236781263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22</w:t>
            </w:r>
            <w:r w:rsidRPr="00C16C8C">
              <w:rPr>
                <w:noProof/>
              </w:rPr>
              <w:fldChar w:fldCharType="end"/>
            </w:r>
          </w:hyperlink>
        </w:p>
        <w:p w14:paraId="3CB7DC80" w14:textId="105604AE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64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Sections Drafted to Date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_Toc236781264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22</w:t>
            </w:r>
            <w:r w:rsidRPr="00C16C8C">
              <w:rPr>
                <w:noProof/>
              </w:rPr>
              <w:fldChar w:fldCharType="end"/>
            </w:r>
          </w:hyperlink>
        </w:p>
        <w:p w14:paraId="7492E08E" w14:textId="0D687DB8" w:rsidR="00C16C8C" w:rsidRPr="00C16C8C" w:rsidRDefault="00C16C8C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szCs w:val="22"/>
            </w:rPr>
          </w:pPr>
          <w:hyperlink w:anchor="_Toc236781265" w:history="1">
            <w:r w:rsidRPr="00C16C8C">
              <w:rPr>
                <w:rStyle w:val="Hyperlink"/>
                <w:rFonts w:eastAsia="Georgia"/>
                <w:b/>
                <w:bCs/>
                <w:noProof/>
              </w:rPr>
              <w:t>Key Sources Referenced</w:t>
            </w:r>
            <w:r w:rsidRPr="00C16C8C">
              <w:rPr>
                <w:noProof/>
              </w:rPr>
              <w:tab/>
            </w:r>
            <w:r w:rsidRPr="00C16C8C">
              <w:rPr>
                <w:noProof/>
              </w:rPr>
              <w:fldChar w:fldCharType="begin"/>
            </w:r>
            <w:r w:rsidRPr="00C16C8C">
              <w:rPr>
                <w:noProof/>
              </w:rPr>
              <w:instrText xml:space="preserve"> PAGEREF _Toc236781265 \h </w:instrText>
            </w:r>
            <w:r w:rsidRPr="00C16C8C">
              <w:rPr>
                <w:noProof/>
              </w:rPr>
            </w:r>
            <w:r w:rsidRPr="00C16C8C">
              <w:rPr>
                <w:noProof/>
              </w:rPr>
              <w:fldChar w:fldCharType="separate"/>
            </w:r>
            <w:r w:rsidR="008C3B18">
              <w:rPr>
                <w:noProof/>
              </w:rPr>
              <w:t>22</w:t>
            </w:r>
            <w:r w:rsidRPr="00C16C8C">
              <w:rPr>
                <w:noProof/>
              </w:rPr>
              <w:fldChar w:fldCharType="end"/>
            </w:r>
          </w:hyperlink>
        </w:p>
        <w:p w14:paraId="2CE8B8A6" w14:textId="41BDA16B" w:rsidR="000F3A6D" w:rsidRPr="00C16C8C" w:rsidRDefault="00A00CCA">
          <w:r w:rsidRPr="00C16C8C">
            <w:fldChar w:fldCharType="end"/>
          </w:r>
        </w:p>
      </w:sdtContent>
    </w:sdt>
    <w:p w14:paraId="77008BFF" w14:textId="77777777" w:rsidR="000F3A6D" w:rsidRPr="00C16C8C" w:rsidRDefault="00A00CCA">
      <w:r w:rsidRPr="00C16C8C">
        <w:br w:type="page"/>
      </w:r>
    </w:p>
    <w:p w14:paraId="6B07B1B7" w14:textId="77777777" w:rsidR="000F3A6D" w:rsidRPr="00C16C8C" w:rsidRDefault="00A00CCA">
      <w:pPr>
        <w:pStyle w:val="Heading1"/>
        <w:pBdr>
          <w:bottom w:val="single" w:sz="12" w:space="4" w:color="C75B12"/>
        </w:pBdr>
        <w:spacing w:before="360" w:after="160"/>
      </w:pPr>
      <w:bookmarkStart w:id="0" w:name="_Toc236781097"/>
      <w:bookmarkStart w:id="1" w:name="_Toc236781212"/>
      <w:r w:rsidRPr="00C16C8C">
        <w:rPr>
          <w:rFonts w:eastAsia="Georgia"/>
          <w:b/>
          <w:bCs/>
          <w:color w:val="0B1622"/>
          <w:sz w:val="26"/>
          <w:szCs w:val="26"/>
        </w:rPr>
        <w:lastRenderedPageBreak/>
        <w:t>1.  EXECUTIVE SUMMARY</w:t>
      </w:r>
      <w:bookmarkEnd w:id="0"/>
      <w:bookmarkEnd w:id="1"/>
    </w:p>
    <w:p w14:paraId="2139B1E4" w14:textId="77777777" w:rsidR="000F3A6D" w:rsidRPr="00C16C8C" w:rsidRDefault="00A00CCA">
      <w:pPr>
        <w:pStyle w:val="Heading2"/>
        <w:spacing w:before="260" w:after="120"/>
      </w:pPr>
      <w:bookmarkStart w:id="2" w:name="_Toc236781098"/>
      <w:bookmarkStart w:id="3" w:name="_Toc236781213"/>
      <w:r w:rsidRPr="00C16C8C">
        <w:rPr>
          <w:rFonts w:eastAsia="Georgia"/>
          <w:b/>
          <w:bCs/>
          <w:color w:val="13263A"/>
          <w:sz w:val="22"/>
          <w:szCs w:val="22"/>
        </w:rPr>
        <w:t>Recommendation</w:t>
      </w:r>
      <w:bookmarkEnd w:id="2"/>
      <w:bookmarkEnd w:id="3"/>
    </w:p>
    <w:p w14:paraId="3D6A4DC5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 xml:space="preserve">We recommend Banglalink proceed toward a Dhaka Stock Exchange listing on a conditional, phased basis — targeting readiness within 12–18 months, contingent on a </w:t>
      </w:r>
      <w:r w:rsidRPr="00C16C8C">
        <w:rPr>
          <w:color w:val="222222"/>
        </w:rPr>
        <w:t>validated free-float/pricing structure agreed with BSEC and continued confirmation that the FY2025 turnaround is durable. VEON's FY2025 Integrated Annual Report, published after this memorandum's initial drafting, now confirms the turnaround directly: Bang</w:t>
      </w:r>
      <w:r w:rsidRPr="00C16C8C">
        <w:rPr>
          <w:color w:val="222222"/>
        </w:rPr>
        <w:t>lalink revenue was BDT 55.9bn (2024: BDT 59.7bn), EBITDA rose to BDT 27.5bn (2024: BDT 20.7bn, +32.5% YoY), and EBITDA margin expanded to 49.2% (2024: 34.7%). This is a proceed-to-prepare, not a proceed-to-price, recommendation, but the standalone-disclosu</w:t>
      </w:r>
      <w:r w:rsidRPr="00C16C8C">
        <w:rPr>
          <w:color w:val="222222"/>
        </w:rPr>
        <w:t>re blocker previously flagged here is materially narrower than first assessed — VEON already discloses full Bangladesh segment financials; the remaining gap is sub-segment detail (net debt, working capital, tax position), not top-line figures.</w:t>
      </w:r>
    </w:p>
    <w:p w14:paraId="32366585" w14:textId="77777777" w:rsidR="000F3A6D" w:rsidRPr="00C16C8C" w:rsidRDefault="00A00CCA">
      <w:pPr>
        <w:shd w:val="clear" w:color="auto" w:fill="FDF1E6"/>
        <w:spacing w:before="60" w:after="200"/>
      </w:pPr>
      <w:r w:rsidRPr="00C16C8C">
        <w:rPr>
          <w:b/>
          <w:bCs/>
          <w:color w:val="C75B12"/>
          <w:sz w:val="18"/>
          <w:szCs w:val="18"/>
        </w:rPr>
        <w:t xml:space="preserve">ASSUMPTION / DATA GAP:  </w:t>
      </w:r>
      <w:r w:rsidRPr="00C16C8C">
        <w:rPr>
          <w:color w:val="3A2E22"/>
          <w:sz w:val="18"/>
          <w:szCs w:val="18"/>
        </w:rPr>
        <w:t>VEON's Integrated Annual Report 2025 (published after this workstream began) confirms Bangladesh segment revenue, EBITDA, margin, digital revenue, capex, and 4G KPIs on a disclosed basis. This corrects and supersedes the illustrative/assumed figures used e</w:t>
      </w:r>
      <w:r w:rsidRPr="00C16C8C">
        <w:rPr>
          <w:color w:val="3A2E22"/>
          <w:sz w:val="18"/>
          <w:szCs w:val="18"/>
        </w:rPr>
        <w:t>arlier in this workstream, which are updated throughout this version. Notably, VEON's own FY2025 country-performance and outlook narrative for Bangladesh does not mention a DSE listing among its stated priorities — the IPO thesis in this memorandum remains</w:t>
      </w:r>
      <w:r w:rsidRPr="00C16C8C">
        <w:rPr>
          <w:color w:val="3A2E22"/>
          <w:sz w:val="18"/>
          <w:szCs w:val="18"/>
        </w:rPr>
        <w:t xml:space="preserve"> analyst-initiated, not corroborated by VEON's most recently published strategic priorities, and this should be raised directly with management.</w:t>
      </w:r>
    </w:p>
    <w:p w14:paraId="6BE168D2" w14:textId="77777777" w:rsidR="000F3A6D" w:rsidRPr="00C16C8C" w:rsidRDefault="00A00CCA">
      <w:pPr>
        <w:pStyle w:val="Heading2"/>
        <w:spacing w:before="260" w:after="120"/>
      </w:pPr>
      <w:bookmarkStart w:id="4" w:name="_Toc236781099"/>
      <w:bookmarkStart w:id="5" w:name="_Toc236781214"/>
      <w:r w:rsidRPr="00C16C8C">
        <w:rPr>
          <w:rFonts w:eastAsia="Georgia"/>
          <w:b/>
          <w:bCs/>
          <w:color w:val="13263A"/>
          <w:sz w:val="22"/>
          <w:szCs w:val="22"/>
        </w:rPr>
        <w:t>IPO Rationale</w:t>
      </w:r>
      <w:bookmarkEnd w:id="4"/>
      <w:bookmarkEnd w:id="5"/>
    </w:p>
    <w:p w14:paraId="417F2165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Banglalink is Bangladesh's third-largest mobile operator by subscribers and revenue, operating in</w:t>
      </w:r>
      <w:r w:rsidRPr="00C16C8C">
        <w:rPr>
          <w:color w:val="222222"/>
        </w:rPr>
        <w:t xml:space="preserve"> a market with only two prior large-cap telecom listings and no direct pure-play alternative to Grameenphone or Robi Axiata. A listing would achieve three objectives simultaneously: diversifying VEON's funding base into a BDT-denominated equity currency; i</w:t>
      </w:r>
      <w:r w:rsidRPr="00C16C8C">
        <w:rPr>
          <w:color w:val="222222"/>
        </w:rPr>
        <w:t>mposing the reporting and governance discipline of public-company status on an asset that has never operated as a standalone reporting entity; and converting VEON's stated USD 1 billion Bangladesh FDI commitment into a durable, market-facing signal of long</w:t>
      </w:r>
      <w:r w:rsidRPr="00C16C8C">
        <w:rPr>
          <w:color w:val="222222"/>
        </w:rPr>
        <w:t>-term conviction. The regulatory backdrop is constructive: BSEC has publicly and repeatedly confirmed engagement with Banglalink leadership on listing intent since 2022.</w:t>
      </w:r>
    </w:p>
    <w:p w14:paraId="4531091E" w14:textId="77777777" w:rsidR="000F3A6D" w:rsidRPr="00C16C8C" w:rsidRDefault="00A00CCA">
      <w:pPr>
        <w:pStyle w:val="Heading2"/>
        <w:spacing w:before="260" w:after="120"/>
      </w:pPr>
      <w:bookmarkStart w:id="6" w:name="_Toc236781100"/>
      <w:bookmarkStart w:id="7" w:name="_Toc236781215"/>
      <w:r w:rsidRPr="00C16C8C">
        <w:rPr>
          <w:rFonts w:eastAsia="Georgia"/>
          <w:b/>
          <w:bCs/>
          <w:color w:val="13263A"/>
          <w:sz w:val="22"/>
          <w:szCs w:val="22"/>
        </w:rPr>
        <w:t>Expected Valuation Approach</w:t>
      </w:r>
      <w:bookmarkEnd w:id="6"/>
      <w:bookmarkEnd w:id="7"/>
    </w:p>
    <w:p w14:paraId="05378D2F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We anchor valuation to DSE-listed peer trading multiples —</w:t>
      </w:r>
      <w:r w:rsidRPr="00C16C8C">
        <w:rPr>
          <w:color w:val="222222"/>
        </w:rPr>
        <w:t xml:space="preserve"> Grameenphone (5.5x EV/EBITDA, 11.7x P/E) and Robi Axiata (4.2x EV/EBITDA, 17.0x P/E) — applied to Banglalink's now-disclosed FY2025 EBITDA of BDT 27.5bn (~USD 226mn reported / USD 238mn constant-FX per VEON's segment reconciliation), at a 20–30% scale/liq</w:t>
      </w:r>
      <w:r w:rsidRPr="00C16C8C">
        <w:rPr>
          <w:color w:val="222222"/>
        </w:rPr>
        <w:t>uidity discount to reflect Banglalink's smaller size and pre-IPO status. This produces a preliminary enterprise value range of USD 680 million to USD 1,020 million, cross-checked against revenue multiples and precedent transaction structures — meaningfully</w:t>
      </w:r>
      <w:r w:rsidRPr="00C16C8C">
        <w:rPr>
          <w:color w:val="222222"/>
        </w:rPr>
        <w:t xml:space="preserve"> more grounded than the earlier illustrative-margin approach, though still pending net debt and capital-structure detail to move from enterprise to equity value.</w:t>
      </w:r>
    </w:p>
    <w:p w14:paraId="3F2FE9EA" w14:textId="77777777" w:rsidR="000F3A6D" w:rsidRPr="00C16C8C" w:rsidRDefault="00A00CCA">
      <w:pPr>
        <w:pStyle w:val="Heading2"/>
        <w:spacing w:before="260" w:after="120"/>
      </w:pPr>
      <w:bookmarkStart w:id="8" w:name="_Toc236781101"/>
      <w:bookmarkStart w:id="9" w:name="_Toc236781216"/>
      <w:r w:rsidRPr="00C16C8C">
        <w:rPr>
          <w:rFonts w:eastAsia="Georgia"/>
          <w:b/>
          <w:bCs/>
          <w:color w:val="13263A"/>
          <w:sz w:val="22"/>
          <w:szCs w:val="22"/>
        </w:rPr>
        <w:t>Capital Allocation Priorities</w:t>
      </w:r>
      <w:bookmarkEnd w:id="8"/>
      <w:bookmarkEnd w:id="9"/>
    </w:p>
    <w:p w14:paraId="2C2D856F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 xml:space="preserve">Should the Board authorize proceeding, we recommend proceeds be </w:t>
      </w:r>
      <w:r w:rsidRPr="00C16C8C">
        <w:rPr>
          <w:color w:val="222222"/>
        </w:rPr>
        <w:t xml:space="preserve">prioritized: (1) network capex to sustain the 4G/5G buildout and defend against subscriber-base saturation; (2) scale-up of the payment-services-provider </w:t>
      </w:r>
      <w:proofErr w:type="spellStart"/>
      <w:r w:rsidRPr="00C16C8C">
        <w:rPr>
          <w:color w:val="222222"/>
        </w:rPr>
        <w:t>licence</w:t>
      </w:r>
      <w:proofErr w:type="spellEnd"/>
      <w:r w:rsidRPr="00C16C8C">
        <w:rPr>
          <w:color w:val="222222"/>
        </w:rPr>
        <w:t xml:space="preserve"> and adjacent fintech infrastructure, the most differentiated growth lever versus GP and Robi; </w:t>
      </w:r>
      <w:r w:rsidRPr="00C16C8C">
        <w:rPr>
          <w:color w:val="222222"/>
        </w:rPr>
        <w:t>(3) intercompany deleveraging with the VEON group, to the extent applicable.</w:t>
      </w:r>
    </w:p>
    <w:p w14:paraId="6964BB7A" w14:textId="77777777" w:rsidR="000F3A6D" w:rsidRPr="00C16C8C" w:rsidRDefault="00A00CCA">
      <w:pPr>
        <w:pStyle w:val="Heading2"/>
        <w:spacing w:before="260" w:after="120"/>
      </w:pPr>
      <w:bookmarkStart w:id="10" w:name="_Toc236781102"/>
      <w:bookmarkStart w:id="11" w:name="_Toc236781217"/>
      <w:r w:rsidRPr="00C16C8C">
        <w:rPr>
          <w:rFonts w:eastAsia="Georgia"/>
          <w:b/>
          <w:bCs/>
          <w:color w:val="13263A"/>
          <w:sz w:val="22"/>
          <w:szCs w:val="22"/>
        </w:rPr>
        <w:t>Key Risks</w:t>
      </w:r>
      <w:bookmarkEnd w:id="10"/>
      <w:bookmarkEnd w:id="11"/>
    </w:p>
    <w:p w14:paraId="58793473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Four risks warrant Board-level attention: fiscal policy exposure (direct and recurring — the FY2024 SIM-tax/duty increases drove sector-wide revenue pressure, though VEO</w:t>
      </w:r>
      <w:r w:rsidRPr="00C16C8C">
        <w:rPr>
          <w:color w:val="222222"/>
        </w:rPr>
        <w:t>N reports a partially offsetting positive development in FY2025: BSEC/government consolidation of licensing categories from 23 to 6 and a reduction in minimum tax obligations); regulatory asymmetry favoring Grameenphone despite its SMP designation; sub-seg</w:t>
      </w:r>
      <w:r w:rsidRPr="00C16C8C">
        <w:rPr>
          <w:color w:val="222222"/>
        </w:rPr>
        <w:t xml:space="preserve">ment financial opacity (net debt, working capital and tax detail remain undisclosed, though top-line segment financials are now published); and ownership/disclosure sensitivity tied to VEON's shareholder base, including </w:t>
      </w:r>
      <w:proofErr w:type="spellStart"/>
      <w:r w:rsidRPr="00C16C8C">
        <w:rPr>
          <w:color w:val="222222"/>
        </w:rPr>
        <w:t>LetterOne</w:t>
      </w:r>
      <w:proofErr w:type="spellEnd"/>
      <w:r w:rsidRPr="00C16C8C">
        <w:rPr>
          <w:color w:val="222222"/>
        </w:rPr>
        <w:t xml:space="preserve"> Holdings, requiring full l</w:t>
      </w:r>
      <w:r w:rsidRPr="00C16C8C">
        <w:rPr>
          <w:color w:val="222222"/>
        </w:rPr>
        <w:t>egal and compliance review.</w:t>
      </w:r>
    </w:p>
    <w:p w14:paraId="3CDE06A8" w14:textId="77777777" w:rsidR="000F3A6D" w:rsidRPr="00C16C8C" w:rsidRDefault="00A00CCA">
      <w:pPr>
        <w:pStyle w:val="Heading2"/>
        <w:spacing w:before="260" w:after="120"/>
      </w:pPr>
      <w:bookmarkStart w:id="12" w:name="_Toc236781103"/>
      <w:bookmarkStart w:id="13" w:name="_Toc236781218"/>
      <w:r w:rsidRPr="00C16C8C">
        <w:rPr>
          <w:rFonts w:eastAsia="Georgia"/>
          <w:b/>
          <w:bCs/>
          <w:color w:val="13263A"/>
          <w:sz w:val="22"/>
          <w:szCs w:val="22"/>
        </w:rPr>
        <w:lastRenderedPageBreak/>
        <w:t>Strategic Conclusion</w:t>
      </w:r>
      <w:bookmarkEnd w:id="12"/>
      <w:bookmarkEnd w:id="13"/>
    </w:p>
    <w:p w14:paraId="2CB21D92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The strategic logic for a Banglalink listing is sound and the regulatory door is open; the constraint is preparedness, not opportunity. Banglalink's 2010 listing attempt was rejected while the Company was lo</w:t>
      </w:r>
      <w:r w:rsidRPr="00C16C8C">
        <w:rPr>
          <w:color w:val="222222"/>
        </w:rPr>
        <w:t>ss-making — the present opportunity is materially de-risked by a return to profitability, but must not repeat the earlier mistake of pursuing a public market before the underlying financial narrative is demonstrably durable. We recommend the Board authoriz</w:t>
      </w:r>
      <w:r w:rsidRPr="00C16C8C">
        <w:rPr>
          <w:color w:val="222222"/>
        </w:rPr>
        <w:t>e a formal IPO-readiness workstream now, with a pricing decision deferred to a defined future checkpoint tied to confirmed FY2025 segment results.</w:t>
      </w:r>
    </w:p>
    <w:p w14:paraId="482528E7" w14:textId="77777777" w:rsidR="000F3A6D" w:rsidRPr="00C16C8C" w:rsidRDefault="00A00CCA">
      <w:r w:rsidRPr="00C16C8C">
        <w:br w:type="page"/>
      </w:r>
    </w:p>
    <w:p w14:paraId="549F0EF7" w14:textId="77777777" w:rsidR="000F3A6D" w:rsidRPr="00C16C8C" w:rsidRDefault="00A00CCA">
      <w:pPr>
        <w:pStyle w:val="Heading1"/>
        <w:pBdr>
          <w:bottom w:val="single" w:sz="12" w:space="4" w:color="C75B12"/>
        </w:pBdr>
        <w:spacing w:before="360" w:after="160"/>
      </w:pPr>
      <w:bookmarkStart w:id="14" w:name="_Toc236781104"/>
      <w:bookmarkStart w:id="15" w:name="_Toc236781219"/>
      <w:r w:rsidRPr="00C16C8C">
        <w:rPr>
          <w:rFonts w:eastAsia="Georgia"/>
          <w:b/>
          <w:bCs/>
          <w:color w:val="0B1622"/>
          <w:sz w:val="26"/>
          <w:szCs w:val="26"/>
        </w:rPr>
        <w:lastRenderedPageBreak/>
        <w:t>4.  BANGLADESH TELECOM INDUSTRY OVERVIEW</w:t>
      </w:r>
      <w:bookmarkEnd w:id="14"/>
      <w:bookmarkEnd w:id="15"/>
    </w:p>
    <w:p w14:paraId="750E0CE4" w14:textId="77777777" w:rsidR="000F3A6D" w:rsidRPr="00C16C8C" w:rsidRDefault="00A00CCA">
      <w:pPr>
        <w:pStyle w:val="Heading2"/>
        <w:spacing w:before="260" w:after="120"/>
      </w:pPr>
      <w:bookmarkStart w:id="16" w:name="_Toc236781105"/>
      <w:bookmarkStart w:id="17" w:name="_Toc236781220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4.1  Market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Size &amp; Structure</w:t>
      </w:r>
      <w:bookmarkEnd w:id="16"/>
      <w:bookmarkEnd w:id="17"/>
    </w:p>
    <w:p w14:paraId="37118E00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 xml:space="preserve">Bangladesh's telecom services market </w:t>
      </w:r>
      <w:r w:rsidRPr="00C16C8C">
        <w:rPr>
          <w:color w:val="222222"/>
        </w:rPr>
        <w:t>is valued at approximately USD 2.7–2.8 billion in 2025–2026, forecast to grow at a modest ~3.8% CAGR to roughly USD 3.4 billion by 2031. This is a mature, low-growth, high-penetration market — the investment case rests on value migration within a flat subs</w:t>
      </w:r>
      <w:r w:rsidRPr="00C16C8C">
        <w:rPr>
          <w:color w:val="222222"/>
        </w:rPr>
        <w:t>criber base (voice-to-data, connectivity-to-digital-services), not on volume expansion. Consumer services represent roughly 86% of revenue; enterprise/B2B remains structurally under-monetized versus regional peers.</w:t>
      </w:r>
    </w:p>
    <w:p w14:paraId="3781638D" w14:textId="77777777" w:rsidR="000F3A6D" w:rsidRPr="00C16C8C" w:rsidRDefault="00A00CCA">
      <w:pPr>
        <w:pStyle w:val="Heading2"/>
        <w:spacing w:before="260" w:after="120"/>
      </w:pPr>
      <w:bookmarkStart w:id="18" w:name="_Toc236781106"/>
      <w:bookmarkStart w:id="19" w:name="_Toc236781221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4.2  Subscriber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Growth</w:t>
      </w:r>
      <w:bookmarkEnd w:id="18"/>
      <w:bookmarkEnd w:id="19"/>
    </w:p>
    <w:p w14:paraId="79D4F1FC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Total mobile conne</w:t>
      </w:r>
      <w:r w:rsidRPr="00C16C8C">
        <w:rPr>
          <w:color w:val="222222"/>
        </w:rPr>
        <w:t>ctions stood at ~188 million as of September 2025 (105% of population, reflecting multi-SIM ownership), following month-on-month declines through Q3 2025 driven by a BTRC-mandated SIM re-verification drive. We read this as structural saturation, not cyclic</w:t>
      </w:r>
      <w:r w:rsidRPr="00C16C8C">
        <w:rPr>
          <w:color w:val="222222"/>
        </w:rPr>
        <w:t>al softness — investors evaluating Banglalink's equity story should discount subscriber-count narratives accordingly and focus on ARPU and data-monetization trajectories instead.</w:t>
      </w:r>
    </w:p>
    <w:p w14:paraId="7954419C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drawing>
          <wp:inline distT="0" distB="0" distL="0" distR="0" wp14:anchorId="2D1FECAA" wp14:editId="3CC70110">
            <wp:extent cx="5429250" cy="249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019F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>Exhibit 4.1/4.2 — Bangladesh telecom market size and subscriber trend (Sour</w:t>
      </w:r>
      <w:r w:rsidRPr="00C16C8C">
        <w:rPr>
          <w:i/>
          <w:iCs/>
          <w:color w:val="44576B"/>
          <w:sz w:val="16"/>
          <w:szCs w:val="16"/>
        </w:rPr>
        <w:t>ces: Mordor Intelligence, BTRC; interpolated years illustrative).</w:t>
      </w:r>
    </w:p>
    <w:p w14:paraId="545905A8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drawing>
          <wp:inline distT="0" distB="0" distL="0" distR="0" wp14:anchorId="39808B58" wp14:editId="136E8238">
            <wp:extent cx="5334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D026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>Exhibit 4.2b — Bangladesh mobile subscriber market share, September 2025 (Source: BTRC).</w:t>
      </w:r>
    </w:p>
    <w:p w14:paraId="49504501" w14:textId="77777777" w:rsidR="000F3A6D" w:rsidRPr="00C16C8C" w:rsidRDefault="00A00CCA">
      <w:pPr>
        <w:pStyle w:val="Heading2"/>
        <w:spacing w:before="260" w:after="120"/>
      </w:pPr>
      <w:bookmarkStart w:id="20" w:name="_Toc236781107"/>
      <w:bookmarkStart w:id="21" w:name="_Toc236781222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lastRenderedPageBreak/>
        <w:t>4.3  ARPU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Trends</w:t>
      </w:r>
      <w:bookmarkEnd w:id="20"/>
      <w:bookmarkEnd w:id="21"/>
    </w:p>
    <w:p w14:paraId="2774134D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Blended ARPU has been broadly flat-to-declining on a voice basis but is inflecting upward on a data basis. This is the single most important trend line in the sector: it confirms a genuine mix-shift monetization opportunity independent of subscriber growth</w:t>
      </w:r>
      <w:r w:rsidRPr="00C16C8C">
        <w:rPr>
          <w:color w:val="222222"/>
        </w:rPr>
        <w:t>, directly supporting the equity story's emphasis on Banglalink's digital/fintech assets as the primary post-IPO value driver.</w:t>
      </w:r>
    </w:p>
    <w:p w14:paraId="2B1545F1" w14:textId="77777777" w:rsidR="000F3A6D" w:rsidRPr="00C16C8C" w:rsidRDefault="00A00CCA">
      <w:pPr>
        <w:shd w:val="clear" w:color="auto" w:fill="FDF1E6"/>
        <w:spacing w:before="60" w:after="200"/>
      </w:pPr>
      <w:r w:rsidRPr="00C16C8C">
        <w:rPr>
          <w:b/>
          <w:bCs/>
          <w:color w:val="C75B12"/>
          <w:sz w:val="18"/>
          <w:szCs w:val="18"/>
        </w:rPr>
        <w:t xml:space="preserve">ASSUMPTION / DATA GAP:  </w:t>
      </w:r>
      <w:r w:rsidRPr="00C16C8C">
        <w:rPr>
          <w:color w:val="3A2E22"/>
          <w:sz w:val="18"/>
          <w:szCs w:val="18"/>
        </w:rPr>
        <w:t>Operator-level ARPU is not consistently disclosed publicly at the granularity required. Recommended Exhib</w:t>
      </w:r>
      <w:r w:rsidRPr="00C16C8C">
        <w:rPr>
          <w:color w:val="3A2E22"/>
          <w:sz w:val="18"/>
          <w:szCs w:val="18"/>
        </w:rPr>
        <w:t>it: blended vs. data ARPU by operator, quarterly, 3-year lookback — to be sourced from BTRC filings or requested directly from Banglalink management for the data room.</w:t>
      </w:r>
    </w:p>
    <w:p w14:paraId="6A2907A3" w14:textId="77777777" w:rsidR="000F3A6D" w:rsidRPr="00C16C8C" w:rsidRDefault="00A00CCA">
      <w:pPr>
        <w:pStyle w:val="Heading2"/>
        <w:spacing w:before="260" w:after="120"/>
      </w:pPr>
      <w:bookmarkStart w:id="22" w:name="_Toc236781108"/>
      <w:bookmarkStart w:id="23" w:name="_Toc236781223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4.4  Smartphone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Penetration &amp; 4.5  Data Consumption</w:t>
      </w:r>
      <w:bookmarkEnd w:id="22"/>
      <w:bookmarkEnd w:id="23"/>
    </w:p>
    <w:p w14:paraId="4316F74B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Smartphone penetration has moved fro</w:t>
      </w:r>
      <w:r w:rsidRPr="00C16C8C">
        <w:rPr>
          <w:color w:val="222222"/>
        </w:rPr>
        <w:t>m roughly a third of mobile users in the early 2020s to an estimated ~69–72% by late 2025/early 2026, driven by falling device costs from local-assembly tax incentives (~58% import tax vs. ~15% on locally manufactured handsets). Average data consumption pe</w:t>
      </w:r>
      <w:r w:rsidRPr="00C16C8C">
        <w:rPr>
          <w:color w:val="222222"/>
        </w:rPr>
        <w:t>r user has more than doubled, from ~3.1 GB/month in 2022 to ~6.4 GB/month in 2024, with operators now deriving more than a third of ARPU from data add-ons rather than voice.</w:t>
      </w:r>
    </w:p>
    <w:p w14:paraId="6319D47B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drawing>
          <wp:inline distT="0" distB="0" distL="0" distR="0" wp14:anchorId="11864A41" wp14:editId="67DB6405">
            <wp:extent cx="5429250" cy="2457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6386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>Exhibit 4.4/4.5 — Smartphone penetration and data consumption trends (Sources: B</w:t>
      </w:r>
      <w:r w:rsidRPr="00C16C8C">
        <w:rPr>
          <w:i/>
          <w:iCs/>
          <w:color w:val="44576B"/>
          <w:sz w:val="16"/>
          <w:szCs w:val="16"/>
        </w:rPr>
        <w:t>BS survey; Mordor Intelligence).</w:t>
      </w:r>
    </w:p>
    <w:p w14:paraId="2A6BFAA6" w14:textId="77777777" w:rsidR="000F3A6D" w:rsidRPr="00C16C8C" w:rsidRDefault="00A00CCA">
      <w:pPr>
        <w:pStyle w:val="Heading2"/>
        <w:spacing w:before="260" w:after="120"/>
      </w:pPr>
      <w:bookmarkStart w:id="24" w:name="_Toc236781109"/>
      <w:bookmarkStart w:id="25" w:name="_Toc236781224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4.6  4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>G Coverage &amp; Migration</w:t>
      </w:r>
      <w:bookmarkEnd w:id="24"/>
      <w:bookmarkEnd w:id="25"/>
    </w:p>
    <w:p w14:paraId="0B7B8C99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4G migration has been a dominant network investment theme. VEON's own FY2025 disclosure reports Banglalink's 4G user base (3-month active) at 18.4 million in 2025 (2024: 18.0 million), with pene</w:t>
      </w:r>
      <w:r w:rsidRPr="00C16C8C">
        <w:rPr>
          <w:color w:val="222222"/>
        </w:rPr>
        <w:t>tration rising to 53.3% of the customer base (2024: 50.2%) — this VEON-reported figure supersedes an earlier press-sourced estimate of ~21.5mn/2024 used in a prior draft of this memorandum and should be treated as authoritative. Total customers served were</w:t>
      </w:r>
      <w:r w:rsidRPr="00C16C8C">
        <w:rPr>
          <w:color w:val="222222"/>
        </w:rPr>
        <w:t xml:space="preserve"> 34.4 million (2025); note this is lower than a BTRC-sourced subscriber count of 38.05mn used elsewhere in this workstream, likely reflecting a definitional difference between BTRC connections/SIMs and VEON's revenue-generating customer base — this reconci</w:t>
      </w:r>
      <w:r w:rsidRPr="00C16C8C">
        <w:rPr>
          <w:color w:val="222222"/>
        </w:rPr>
        <w:t xml:space="preserve">liation should be confirmed directly with management before either figure is used in investor-facing materials. 4G capex intensity is moderating: capex was down 41.3% in FY2025, reallocated toward high-traffic zone quality and capacity rather than further </w:t>
      </w:r>
      <w:r w:rsidRPr="00C16C8C">
        <w:rPr>
          <w:color w:val="222222"/>
        </w:rPr>
        <w:t>geographic rollout.</w:t>
      </w:r>
    </w:p>
    <w:p w14:paraId="1DCD7857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lastRenderedPageBreak/>
        <w:drawing>
          <wp:inline distT="0" distB="0" distL="0" distR="0" wp14:anchorId="66990DCC" wp14:editId="18B3403A">
            <wp:extent cx="4572000" cy="2524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6244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>Exhibit 4.6 — Banglalink 4G users and penetration, 2023-2025 (Source: VEON Integrated Annual Report 2025; corrected from earlier press-sourced figures).</w:t>
      </w:r>
    </w:p>
    <w:p w14:paraId="675CC18A" w14:textId="77777777" w:rsidR="000F3A6D" w:rsidRPr="00C16C8C" w:rsidRDefault="00A00CCA">
      <w:pPr>
        <w:pStyle w:val="Heading2"/>
        <w:spacing w:before="260" w:after="120"/>
      </w:pPr>
      <w:bookmarkStart w:id="26" w:name="_Toc236781110"/>
      <w:bookmarkStart w:id="27" w:name="_Toc236781225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4.7  5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>G Readiness</w:t>
      </w:r>
      <w:bookmarkEnd w:id="26"/>
      <w:bookmarkEnd w:id="27"/>
    </w:p>
    <w:p w14:paraId="6C79A844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 xml:space="preserve">5G in Bangladesh remains pre-commercial and behind its original government timeline. </w:t>
      </w:r>
      <w:r w:rsidRPr="00C16C8C">
        <w:rPr>
          <w:color w:val="222222"/>
        </w:rPr>
        <w:t>Robi and Grameenphone have run pilot 5G zones since 2022–2025; as of 2025 estimates put 5G users at only ~6% of the base, and BTRC's own chairman publicly acknowledged in early 2025 that no firm commercial rollout timeline exists. A critical near-term cata</w:t>
      </w:r>
      <w:r w:rsidRPr="00C16C8C">
        <w:rPr>
          <w:color w:val="222222"/>
        </w:rPr>
        <w:t>lyst is the 700MHz spectrum auction (rescheduled to January 2026), though ~20MHz remains encumbered by litigation and operators — including Banglalink — have pushed back on reserve pricing. Banglalink has not announced a 5G commercial launch timeline, unli</w:t>
      </w:r>
      <w:r w:rsidRPr="00C16C8C">
        <w:rPr>
          <w:color w:val="222222"/>
        </w:rPr>
        <w:t>ke GP and Robi; we treat 5G as multi-year optionality, not a near-term monetization driver.</w:t>
      </w:r>
    </w:p>
    <w:p w14:paraId="12393071" w14:textId="77777777" w:rsidR="000F3A6D" w:rsidRPr="00C16C8C" w:rsidRDefault="00A00CCA">
      <w:pPr>
        <w:pStyle w:val="Heading2"/>
        <w:spacing w:before="260" w:after="120"/>
      </w:pPr>
      <w:bookmarkStart w:id="28" w:name="_Toc236781111"/>
      <w:bookmarkStart w:id="29" w:name="_Toc236781226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4.8  Competitive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Dynamics</w:t>
      </w:r>
      <w:bookmarkEnd w:id="28"/>
      <w:bookmarkEnd w:id="29"/>
    </w:p>
    <w:p w14:paraId="37041CB8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The market exhibits entrenched, revenue-concentrated dominance by Grameenphone (45–48% subscriber share, an estimated ~50% of industry rev</w:t>
      </w:r>
      <w:r w:rsidRPr="00C16C8C">
        <w:rPr>
          <w:color w:val="222222"/>
        </w:rPr>
        <w:t>enue), formally designated as a Significant Market Power (SMP) operator subject to theoretically asymmetric regulation. In practice enforcement has been slow and litigation-constrained. Robi has shown the most consistent share gains among private operators</w:t>
      </w:r>
      <w:r w:rsidRPr="00C16C8C">
        <w:rPr>
          <w:color w:val="222222"/>
        </w:rPr>
        <w:t>; Banglalink has held a broadly stable ~20% position, competing on value/mass-market pricing and, increasingly, digital-service differentiation.</w:t>
      </w:r>
    </w:p>
    <w:p w14:paraId="33CE8521" w14:textId="77777777" w:rsidR="000F3A6D" w:rsidRPr="00C16C8C" w:rsidRDefault="00A00CCA">
      <w:pPr>
        <w:pStyle w:val="Heading2"/>
        <w:spacing w:before="260" w:after="120"/>
      </w:pPr>
      <w:bookmarkStart w:id="30" w:name="_Toc236781112"/>
      <w:bookmarkStart w:id="31" w:name="_Toc236781227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4.9  Government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Regulation &amp; BTRC</w:t>
      </w:r>
      <w:bookmarkEnd w:id="30"/>
      <w:bookmarkEnd w:id="31"/>
    </w:p>
    <w:p w14:paraId="14D60501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Fiscal policy risk is direct and recurring: the FY2024–25 budget raised SIM-c</w:t>
      </w:r>
      <w:r w:rsidRPr="00C16C8C">
        <w:rPr>
          <w:color w:val="222222"/>
        </w:rPr>
        <w:t>ard VAT (BDT 200→300) and telecom supplementary duty, contributing to an 18% YoY sector revenue decline and 23% YoY EBITDA decline at VEON group level in H2 2024.</w:t>
      </w:r>
    </w:p>
    <w:p w14:paraId="718AABCF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Spectrum policy execution risk: the 5G unified-licensing framework took nearly two years to f</w:t>
      </w:r>
      <w:r w:rsidRPr="00C16C8C">
        <w:rPr>
          <w:color w:val="222222"/>
        </w:rPr>
        <w:t>ormalize after the 2022 auction; the 700MHz auction has been delayed multiple times since an original 2025 target.</w:t>
      </w:r>
    </w:p>
    <w:p w14:paraId="6FEE2A18" w14:textId="77777777" w:rsidR="000F3A6D" w:rsidRPr="00C16C8C" w:rsidRDefault="00A00CCA">
      <w:pPr>
        <w:pStyle w:val="Heading2"/>
        <w:spacing w:before="260" w:after="120"/>
      </w:pPr>
      <w:bookmarkStart w:id="32" w:name="_Toc236781113"/>
      <w:bookmarkStart w:id="33" w:name="_Toc236781228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4.10  Future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Opportunities</w:t>
      </w:r>
      <w:bookmarkEnd w:id="32"/>
      <w:bookmarkEnd w:id="33"/>
    </w:p>
    <w:p w14:paraId="1ED1CB57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Digital financial services / fintech monetization — with ~72% of the population estimated outside formal banking (</w:t>
      </w:r>
      <w:r w:rsidRPr="00C16C8C">
        <w:rPr>
          <w:color w:val="222222"/>
        </w:rPr>
        <w:t xml:space="preserve">2023 basis), this is the largest incremental TAM available, and the area where Banglalink's PSP </w:t>
      </w:r>
      <w:proofErr w:type="spellStart"/>
      <w:r w:rsidRPr="00C16C8C">
        <w:rPr>
          <w:color w:val="222222"/>
        </w:rPr>
        <w:t>licence</w:t>
      </w:r>
      <w:proofErr w:type="spellEnd"/>
      <w:r w:rsidRPr="00C16C8C">
        <w:rPr>
          <w:color w:val="222222"/>
        </w:rPr>
        <w:t xml:space="preserve"> (Dec-2025) provides first-mover-adjacent positioning.</w:t>
      </w:r>
    </w:p>
    <w:p w14:paraId="71727C61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Data monetization via bundled digital content (Toffee, RYZE), contingent on standalone unit econom</w:t>
      </w:r>
      <w:r w:rsidRPr="00C16C8C">
        <w:rPr>
          <w:color w:val="222222"/>
        </w:rPr>
        <w:t>ics not yet disclosed.</w:t>
      </w:r>
    </w:p>
    <w:p w14:paraId="501A82C8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Rural/underserved coverage extension — village-level mobile ownership has more than doubled over the past decade (29.85% to 56.07%), supported by the pending 700MHz auction if resolved favorably.</w:t>
      </w:r>
    </w:p>
    <w:p w14:paraId="24182214" w14:textId="77777777" w:rsidR="000F3A6D" w:rsidRPr="00C16C8C" w:rsidRDefault="00A00CCA">
      <w:r w:rsidRPr="00C16C8C">
        <w:br w:type="page"/>
      </w:r>
    </w:p>
    <w:p w14:paraId="4CE01090" w14:textId="77777777" w:rsidR="000F3A6D" w:rsidRPr="00C16C8C" w:rsidRDefault="00A00CCA">
      <w:pPr>
        <w:pStyle w:val="Heading1"/>
        <w:pBdr>
          <w:bottom w:val="single" w:sz="12" w:space="4" w:color="C75B12"/>
        </w:pBdr>
        <w:spacing w:before="360" w:after="160"/>
      </w:pPr>
      <w:bookmarkStart w:id="34" w:name="_Toc236781114"/>
      <w:bookmarkStart w:id="35" w:name="_Toc236781229"/>
      <w:r w:rsidRPr="00C16C8C">
        <w:rPr>
          <w:rFonts w:eastAsia="Georgia"/>
          <w:b/>
          <w:bCs/>
          <w:color w:val="0B1622"/>
          <w:sz w:val="26"/>
          <w:szCs w:val="26"/>
        </w:rPr>
        <w:lastRenderedPageBreak/>
        <w:t>5.  STRATEGIC ANALYSIS: BANGLALINK</w:t>
      </w:r>
      <w:bookmarkEnd w:id="34"/>
      <w:bookmarkEnd w:id="35"/>
    </w:p>
    <w:p w14:paraId="4AE84019" w14:textId="77777777" w:rsidR="000F3A6D" w:rsidRPr="00C16C8C" w:rsidRDefault="00A00CCA">
      <w:pPr>
        <w:pStyle w:val="Heading2"/>
        <w:spacing w:before="260" w:after="120"/>
      </w:pPr>
      <w:bookmarkStart w:id="36" w:name="_Toc236781115"/>
      <w:bookmarkStart w:id="37" w:name="_Toc236781230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5.1  Business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Model</w:t>
      </w:r>
      <w:bookmarkEnd w:id="36"/>
      <w:bookmarkEnd w:id="37"/>
    </w:p>
    <w:p w14:paraId="4AEFEC7A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 xml:space="preserve">Banglalink operates a converged connectivity-plus-digital-services model, consistent with VEON's group-wide “digital operator” strategy (DO1440/AI1440). The core economic engine remains prepaid mobile </w:t>
      </w:r>
      <w:r w:rsidRPr="00C16C8C">
        <w:rPr>
          <w:color w:val="222222"/>
        </w:rPr>
        <w:t>connectivity, monetized through airtime and bundle sales across a mass-market, value-oriented customer base, layered with an emerging digital-services stack (</w:t>
      </w:r>
      <w:proofErr w:type="spellStart"/>
      <w:r w:rsidRPr="00C16C8C">
        <w:rPr>
          <w:color w:val="222222"/>
        </w:rPr>
        <w:t>MyBL</w:t>
      </w:r>
      <w:proofErr w:type="spellEnd"/>
      <w:r w:rsidRPr="00C16C8C">
        <w:rPr>
          <w:color w:val="222222"/>
        </w:rPr>
        <w:t>, Toffee, RYZE, payment services) intended to shift the revenue mix toward higher-margin, stic</w:t>
      </w:r>
      <w:r w:rsidRPr="00C16C8C">
        <w:rPr>
          <w:color w:val="222222"/>
        </w:rPr>
        <w:t>kier services.</w:t>
      </w:r>
    </w:p>
    <w:p w14:paraId="714FE5A6" w14:textId="77777777" w:rsidR="000F3A6D" w:rsidRPr="00C16C8C" w:rsidRDefault="00A00CCA">
      <w:pPr>
        <w:pStyle w:val="Heading2"/>
        <w:spacing w:before="260" w:after="120"/>
      </w:pPr>
      <w:bookmarkStart w:id="38" w:name="_Toc236781116"/>
      <w:bookmarkStart w:id="39" w:name="_Toc236781231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5.2  Revenue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Sources</w:t>
      </w:r>
      <w:bookmarkEnd w:id="38"/>
      <w:bookmarkEnd w:id="39"/>
    </w:p>
    <w:p w14:paraId="212A0FA3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Revenue is presently dominated by core connectivity — voice, SMS, and mobile data — consistent with the sector-wide pattern in which consumer services represent ~86% of market revenue. Digital revenue is now disclosed an</w:t>
      </w:r>
      <w:r w:rsidRPr="00C16C8C">
        <w:rPr>
          <w:color w:val="222222"/>
        </w:rPr>
        <w:t>d material at the growth-rate level: VEON reports Banglalink direct digital revenue of BDT 3.0bn in FY2025, versus BDT 0.34bn in FY2024 — approximately 8x YoY growth, driven primarily by Toffee and improved advertising monetization — though digital revenue</w:t>
      </w:r>
      <w:r w:rsidRPr="00C16C8C">
        <w:rPr>
          <w:color w:val="222222"/>
        </w:rPr>
        <w:t xml:space="preserve"> remains only ~5.4% of total revenue (2024: 0.6%), confirming this is a genuine but still early-stage and low-base growth vector, not yet a core revenue pillar.</w:t>
      </w:r>
    </w:p>
    <w:p w14:paraId="65A69D48" w14:textId="77777777" w:rsidR="000F3A6D" w:rsidRPr="00C16C8C" w:rsidRDefault="00A00CCA">
      <w:pPr>
        <w:pStyle w:val="Heading2"/>
        <w:spacing w:before="260" w:after="120"/>
      </w:pPr>
      <w:bookmarkStart w:id="40" w:name="_Toc236781117"/>
      <w:bookmarkStart w:id="41" w:name="_Toc236781232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5.3  Customer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Segments</w:t>
      </w:r>
      <w:bookmarkEnd w:id="40"/>
      <w:bookmarkEnd w:id="41"/>
    </w:p>
    <w:p w14:paraId="43ECAE6B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Mass-market prepaid — largest by volume; price-sensitive, high churn exp</w:t>
      </w:r>
      <w:r w:rsidRPr="00C16C8C">
        <w:rPr>
          <w:color w:val="222222"/>
        </w:rPr>
        <w:t>osure.</w:t>
      </w:r>
    </w:p>
    <w:p w14:paraId="69EC21D9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Emerging smartphone/data-native users — primary addressable base for Toffee/</w:t>
      </w:r>
      <w:proofErr w:type="spellStart"/>
      <w:r w:rsidRPr="00C16C8C">
        <w:rPr>
          <w:color w:val="222222"/>
        </w:rPr>
        <w:t>MyBL</w:t>
      </w:r>
      <w:proofErr w:type="spellEnd"/>
      <w:r w:rsidRPr="00C16C8C">
        <w:rPr>
          <w:color w:val="222222"/>
        </w:rPr>
        <w:t xml:space="preserve"> cross-sell.</w:t>
      </w:r>
    </w:p>
    <w:p w14:paraId="22DB8003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 xml:space="preserve">Unbanked/underbanked financial-services prospects — largely untapped, now addressable via the PSP </w:t>
      </w:r>
      <w:proofErr w:type="spellStart"/>
      <w:r w:rsidRPr="00C16C8C">
        <w:rPr>
          <w:color w:val="222222"/>
        </w:rPr>
        <w:t>licence</w:t>
      </w:r>
      <w:proofErr w:type="spellEnd"/>
      <w:r w:rsidRPr="00C16C8C">
        <w:rPr>
          <w:color w:val="222222"/>
        </w:rPr>
        <w:t>.</w:t>
      </w:r>
    </w:p>
    <w:p w14:paraId="59CAC86F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Postpaid/enterprise — historically underweight ac</w:t>
      </w:r>
      <w:r w:rsidRPr="00C16C8C">
        <w:rPr>
          <w:color w:val="222222"/>
        </w:rPr>
        <w:t>ross the entire market; longer-dated, capital-light opportunity.</w:t>
      </w:r>
    </w:p>
    <w:p w14:paraId="53781FE4" w14:textId="77777777" w:rsidR="000F3A6D" w:rsidRPr="00C16C8C" w:rsidRDefault="00A00CCA">
      <w:pPr>
        <w:pStyle w:val="Heading2"/>
        <w:spacing w:before="260" w:after="120"/>
      </w:pPr>
      <w:bookmarkStart w:id="42" w:name="_Toc236781118"/>
      <w:bookmarkStart w:id="43" w:name="_Toc236781233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5.4  Competitive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Advantages</w:t>
      </w:r>
      <w:bookmarkEnd w:id="42"/>
      <w:bookmarkEnd w:id="43"/>
    </w:p>
    <w:p w14:paraId="426C584D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 xml:space="preserve">First-mover-adjacent fintech positioning via the PSP </w:t>
      </w:r>
      <w:proofErr w:type="spellStart"/>
      <w:r w:rsidRPr="00C16C8C">
        <w:rPr>
          <w:color w:val="222222"/>
        </w:rPr>
        <w:t>licence</w:t>
      </w:r>
      <w:proofErr w:type="spellEnd"/>
      <w:r w:rsidRPr="00C16C8C">
        <w:rPr>
          <w:color w:val="222222"/>
        </w:rPr>
        <w:t>.</w:t>
      </w:r>
    </w:p>
    <w:p w14:paraId="51846015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Parent-level strategic and capital commitment (VEON's USD 250mn FDI anchor investment).</w:t>
      </w:r>
    </w:p>
    <w:p w14:paraId="5E66E4DC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Digital conte</w:t>
      </w:r>
      <w:r w:rsidRPr="00C16C8C">
        <w:rPr>
          <w:color w:val="222222"/>
        </w:rPr>
        <w:t>nt ecosystem (Toffee) as a retention and ARPU-uplift lever.</w:t>
      </w:r>
    </w:p>
    <w:p w14:paraId="2C66C6F5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Cost-competitive value positioning with a durable, less premium-exposed subscriber base.</w:t>
      </w:r>
    </w:p>
    <w:p w14:paraId="7DEB6238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 xml:space="preserve">Group-level fintech playbook transfer from VEON's </w:t>
      </w:r>
      <w:proofErr w:type="spellStart"/>
      <w:r w:rsidRPr="00C16C8C">
        <w:rPr>
          <w:color w:val="222222"/>
        </w:rPr>
        <w:t>JazzCash</w:t>
      </w:r>
      <w:proofErr w:type="spellEnd"/>
      <w:r w:rsidRPr="00C16C8C">
        <w:rPr>
          <w:color w:val="222222"/>
        </w:rPr>
        <w:t xml:space="preserve"> (Pakistan) success.</w:t>
      </w:r>
    </w:p>
    <w:p w14:paraId="4A23E78B" w14:textId="77777777" w:rsidR="000F3A6D" w:rsidRPr="00C16C8C" w:rsidRDefault="00A00CCA">
      <w:pPr>
        <w:pStyle w:val="Heading2"/>
        <w:spacing w:before="260" w:after="120"/>
      </w:pPr>
      <w:bookmarkStart w:id="44" w:name="_Toc236781119"/>
      <w:bookmarkStart w:id="45" w:name="_Toc236781234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5.5  Weaknesses</w:t>
      </w:r>
      <w:bookmarkEnd w:id="44"/>
      <w:bookmarkEnd w:id="45"/>
      <w:proofErr w:type="gramEnd"/>
    </w:p>
    <w:p w14:paraId="5E769A3C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Persistent s</w:t>
      </w:r>
      <w:r w:rsidRPr="00C16C8C">
        <w:rPr>
          <w:color w:val="222222"/>
        </w:rPr>
        <w:t>cale disadvantage vs. Grameenphone, structurally unlikely to close.</w:t>
      </w:r>
    </w:p>
    <w:p w14:paraId="0707C85E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Sub-segment financial disclosure gap (net debt, working capital, tax detail) — narrower than initially assessed, since VEON now discloses top-line segment financials, but still a capital-m</w:t>
      </w:r>
      <w:r w:rsidRPr="00C16C8C">
        <w:rPr>
          <w:color w:val="222222"/>
        </w:rPr>
        <w:t>arkets-readiness weakness relative to GP/Robi's full standalone audited accounts.</w:t>
      </w:r>
    </w:p>
    <w:p w14:paraId="509E6616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Historical execution precedent risk (2010 IPO rejection while loss-making).</w:t>
      </w:r>
    </w:p>
    <w:p w14:paraId="67BF2CB6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FY2024 earnings pressure from sector-wide fiscal shocks.</w:t>
      </w:r>
    </w:p>
    <w:p w14:paraId="2C233057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No announced 5G pilot/launch, unlike GP a</w:t>
      </w:r>
      <w:r w:rsidRPr="00C16C8C">
        <w:rPr>
          <w:color w:val="222222"/>
        </w:rPr>
        <w:t>nd Robi.</w:t>
      </w:r>
    </w:p>
    <w:p w14:paraId="5D02347F" w14:textId="77777777" w:rsidR="000F3A6D" w:rsidRPr="00C16C8C" w:rsidRDefault="00A00CCA">
      <w:pPr>
        <w:pStyle w:val="Heading2"/>
        <w:spacing w:before="260" w:after="120"/>
      </w:pPr>
      <w:bookmarkStart w:id="46" w:name="_Toc236781120"/>
      <w:bookmarkStart w:id="47" w:name="_Toc236781235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5.6  Operational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Performance</w:t>
      </w:r>
      <w:bookmarkEnd w:id="46"/>
      <w:bookmarkEnd w:id="47"/>
    </w:p>
    <w:p w14:paraId="38A4E380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 xml:space="preserve">VEON's Integrated Annual Report 2025 confirms the turnaround directly and quantifiably. Under new CEO Johan Buse (effective April 6, 2025, succeeding Erik </w:t>
      </w:r>
      <w:proofErr w:type="spellStart"/>
      <w:r w:rsidRPr="00C16C8C">
        <w:rPr>
          <w:color w:val="222222"/>
        </w:rPr>
        <w:t>Aas</w:t>
      </w:r>
      <w:proofErr w:type="spellEnd"/>
      <w:r w:rsidRPr="00C16C8C">
        <w:rPr>
          <w:color w:val="222222"/>
        </w:rPr>
        <w:t xml:space="preserve">), Banglalink delivered: revenue of BDT 55.9bn (2024: BDT 59.7bn); EBITDA of BDT 27.5bn, up 32.5% </w:t>
      </w:r>
      <w:r w:rsidRPr="00C16C8C">
        <w:rPr>
          <w:color w:val="222222"/>
        </w:rPr>
        <w:t>YoY (2024: BDT 20.7bn); and EBITDA margin expansion to 49.2% (2024: 34.7%) — achieved via disciplined cost management and a 41.3% capex reduction focused on high-traffic zone quality rather than broad rollout. This is materially stronger than this workstre</w:t>
      </w:r>
      <w:r w:rsidRPr="00C16C8C">
        <w:rPr>
          <w:color w:val="222222"/>
        </w:rPr>
        <w:t>am's earlier illustrative 35-42% margin assumption and should be treated as the base case going forward.</w:t>
      </w:r>
    </w:p>
    <w:p w14:paraId="28B8668A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lastRenderedPageBreak/>
        <w:drawing>
          <wp:inline distT="0" distB="0" distL="0" distR="0" wp14:anchorId="2FB3A0E0" wp14:editId="192F86DF">
            <wp:extent cx="5429250" cy="2000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8916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>Exhibit 5.6 — Banglalink FY2024 vs. FY2025 revenue, EBITDA and margin (Source: VEON Integrated Annual Report 2025, p.97).</w:t>
      </w:r>
    </w:p>
    <w:p w14:paraId="2491D960" w14:textId="77777777" w:rsidR="000F3A6D" w:rsidRPr="00C16C8C" w:rsidRDefault="00A00CCA">
      <w:pPr>
        <w:pStyle w:val="Heading2"/>
        <w:spacing w:before="260" w:after="120"/>
      </w:pPr>
      <w:bookmarkStart w:id="48" w:name="_Toc236781121"/>
      <w:bookmarkStart w:id="49" w:name="_Toc236781236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5.7  Digital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Services Portfolio</w:t>
      </w:r>
      <w:bookmarkEnd w:id="48"/>
      <w:bookmarkEnd w:id="4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000"/>
      </w:tblGrid>
      <w:tr w:rsidR="000F3A6D" w:rsidRPr="00C16C8C" w14:paraId="65ACB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CFD30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Asset</w:t>
            </w:r>
          </w:p>
        </w:tc>
        <w:tc>
          <w:tcPr>
            <w:tcW w:w="36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9CE96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Function</w:t>
            </w:r>
          </w:p>
        </w:tc>
        <w:tc>
          <w:tcPr>
            <w:tcW w:w="30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73A85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Strategic Role</w:t>
            </w:r>
          </w:p>
        </w:tc>
      </w:tr>
      <w:tr w:rsidR="000F3A6D" w:rsidRPr="00C16C8C" w14:paraId="4E7305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9E2FF" w14:textId="77777777" w:rsidR="000F3A6D" w:rsidRPr="00C16C8C" w:rsidRDefault="00A00CCA">
            <w:pPr>
              <w:spacing w:before="40" w:after="40"/>
            </w:pPr>
            <w:proofErr w:type="spellStart"/>
            <w:r w:rsidRPr="00C16C8C">
              <w:rPr>
                <w:color w:val="222222"/>
                <w:sz w:val="18"/>
                <w:szCs w:val="18"/>
              </w:rPr>
              <w:t>MyBL</w:t>
            </w:r>
            <w:proofErr w:type="spellEnd"/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6231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Super-app: account management, VAS, bundling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BC8C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Retention &amp; cross-sel</w:t>
            </w:r>
            <w:r w:rsidRPr="00C16C8C">
              <w:rPr>
                <w:color w:val="222222"/>
                <w:sz w:val="18"/>
                <w:szCs w:val="18"/>
              </w:rPr>
              <w:t>l hub</w:t>
            </w:r>
          </w:p>
        </w:tc>
      </w:tr>
      <w:tr w:rsidR="000F3A6D" w:rsidRPr="00C16C8C" w14:paraId="39EBFE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65BE9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Toffee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0C8C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Entertainment/streaming platform</w:t>
            </w:r>
          </w:p>
        </w:tc>
        <w:tc>
          <w:tcPr>
            <w:tcW w:w="3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3003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ARPU uplift via content monetization</w:t>
            </w:r>
          </w:p>
        </w:tc>
      </w:tr>
      <w:tr w:rsidR="000F3A6D" w:rsidRPr="00C16C8C" w14:paraId="5BB11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D700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RYZE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F8D2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AI-powered digital lifestyle brand (youth)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76F2F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Demographic engagement, differentiation</w:t>
            </w:r>
          </w:p>
        </w:tc>
      </w:tr>
      <w:tr w:rsidR="000F3A6D" w:rsidRPr="00C16C8C" w14:paraId="14CA04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3329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Payment Services (PSP, Dec-2025)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80852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Regulated money transfer/payments</w:t>
            </w:r>
          </w:p>
        </w:tc>
        <w:tc>
          <w:tcPr>
            <w:tcW w:w="3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4003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Largest incremental TAM; core fintech optionality</w:t>
            </w:r>
          </w:p>
        </w:tc>
      </w:tr>
      <w:tr w:rsidR="000F3A6D" w:rsidRPr="00C16C8C" w14:paraId="799B3B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7ABE8" w14:textId="77777777" w:rsidR="000F3A6D" w:rsidRPr="00C16C8C" w:rsidRDefault="00A00CCA">
            <w:pPr>
              <w:spacing w:before="40" w:after="40"/>
            </w:pPr>
            <w:proofErr w:type="spellStart"/>
            <w:r w:rsidRPr="00C16C8C">
              <w:rPr>
                <w:color w:val="222222"/>
                <w:sz w:val="18"/>
                <w:szCs w:val="18"/>
              </w:rPr>
              <w:t>Starlink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 xml:space="preserve"> Direct-to-Cell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A9EE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Satellite-to-mobile connectivity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FB40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Rural coverage extension; tech-leadership signal</w:t>
            </w:r>
          </w:p>
        </w:tc>
      </w:tr>
    </w:tbl>
    <w:p w14:paraId="5340C35C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drawing>
          <wp:inline distT="0" distB="0" distL="0" distR="0" wp14:anchorId="4F55D627" wp14:editId="2B057867">
            <wp:extent cx="4762500" cy="2686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8E57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>Exhibit 5.7b — Banglalink digital revenue growth, FY2023-FY2025 (Source: VEON Integrated Annual Report 2025, p.98).</w:t>
      </w:r>
    </w:p>
    <w:p w14:paraId="15C88B5B" w14:textId="77777777" w:rsidR="000F3A6D" w:rsidRPr="00C16C8C" w:rsidRDefault="00A00CCA">
      <w:pPr>
        <w:pStyle w:val="Heading2"/>
        <w:spacing w:before="260" w:after="120"/>
      </w:pPr>
      <w:bookmarkStart w:id="50" w:name="_Toc236781122"/>
      <w:bookmarkStart w:id="51" w:name="_Toc236781237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5.8  Strategic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Positioning</w:t>
      </w:r>
      <w:bookmarkEnd w:id="50"/>
      <w:bookmarkEnd w:id="51"/>
    </w:p>
    <w:p w14:paraId="4996DD54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 xml:space="preserve">Banglalink's positioning is best summarized as “the value-led digital challenger” — unable to compete with GP on </w:t>
      </w:r>
      <w:r w:rsidRPr="00C16C8C">
        <w:rPr>
          <w:color w:val="222222"/>
        </w:rPr>
        <w:t xml:space="preserve">network scale or brand premium, and trailing Robi on organic share momentum, but increasingly differentiated on digital/fintech breadth. This strategy now has initial disclosed evidence behind it (8x YoY digital revenue growth, FY2025 EBITDA margin </w:t>
      </w:r>
      <w:r w:rsidRPr="00C16C8C">
        <w:rPr>
          <w:color w:val="222222"/>
        </w:rPr>
        <w:lastRenderedPageBreak/>
        <w:t>expansi</w:t>
      </w:r>
      <w:r w:rsidRPr="00C16C8C">
        <w:rPr>
          <w:color w:val="222222"/>
        </w:rPr>
        <w:t>on to 49.2%), though digital revenue's low base (~5.4% of total) means the equity story should still be framed as an early-stage trajectory, not a mature revenue pillar, when presented to investors.</w:t>
      </w:r>
    </w:p>
    <w:p w14:paraId="3BB5ACFE" w14:textId="77777777" w:rsidR="000F3A6D" w:rsidRPr="00C16C8C" w:rsidRDefault="00A00CCA">
      <w:pPr>
        <w:pStyle w:val="Heading2"/>
        <w:spacing w:before="260" w:after="120"/>
      </w:pPr>
      <w:bookmarkStart w:id="52" w:name="_Toc236781123"/>
      <w:bookmarkStart w:id="53" w:name="_Toc236781238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5.9  Porter's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Five Forces</w:t>
      </w:r>
      <w:bookmarkEnd w:id="52"/>
      <w:bookmarkEnd w:id="53"/>
    </w:p>
    <w:p w14:paraId="43BA5F12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drawing>
          <wp:inline distT="0" distB="0" distL="0" distR="0" wp14:anchorId="0BE8BFEB" wp14:editId="7B174C32">
            <wp:extent cx="3810000" cy="3571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045D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>Exhibit 5.9 — Porter's Five F</w:t>
      </w:r>
      <w:r w:rsidRPr="00C16C8C">
        <w:rPr>
          <w:i/>
          <w:iCs/>
          <w:color w:val="44576B"/>
          <w:sz w:val="16"/>
          <w:szCs w:val="16"/>
        </w:rPr>
        <w:t>orces assessment, Bangladesh telecom sector (analyst scoring, 1=low, 5=high).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  <w:gridCol w:w="2200"/>
      </w:tblGrid>
      <w:tr w:rsidR="000F3A6D" w:rsidRPr="00C16C8C" w14:paraId="231338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A40EB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Force</w:t>
            </w:r>
          </w:p>
        </w:tc>
        <w:tc>
          <w:tcPr>
            <w:tcW w:w="44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96F1C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Assessment</w:t>
            </w:r>
          </w:p>
        </w:tc>
        <w:tc>
          <w:tcPr>
            <w:tcW w:w="22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842B1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Intensity</w:t>
            </w:r>
          </w:p>
        </w:tc>
      </w:tr>
      <w:tr w:rsidR="000F3A6D" w:rsidRPr="00C16C8C" w14:paraId="300D54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1028F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Threat of new entrants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C020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High spectrum costs &amp; licensing barriers; entrenched four-player structure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613AA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Low</w:t>
            </w:r>
          </w:p>
        </w:tc>
      </w:tr>
      <w:tr w:rsidR="000F3A6D" w:rsidRPr="00C16C8C" w14:paraId="799395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20528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Supplier power</w:t>
            </w:r>
          </w:p>
        </w:tc>
        <w:tc>
          <w:tcPr>
            <w:tcW w:w="4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C90B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Equipment vendors and BTRC (sole spectrum seller) hold pricing power</w:t>
            </w:r>
          </w:p>
        </w:tc>
        <w:tc>
          <w:tcPr>
            <w:tcW w:w="22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8BDB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Moderate</w:t>
            </w:r>
          </w:p>
        </w:tc>
      </w:tr>
      <w:tr w:rsidR="000F3A6D" w:rsidRPr="00C16C8C" w14:paraId="21F061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B8FB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Buyer power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44FB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Low switching costs (MNP since 2018), price-sensitive base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223B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High</w:t>
            </w:r>
          </w:p>
        </w:tc>
      </w:tr>
      <w:tr w:rsidR="000F3A6D" w:rsidRPr="00C16C8C" w14:paraId="59E5DF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C91FA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Threat of substitutes</w:t>
            </w:r>
          </w:p>
        </w:tc>
        <w:tc>
          <w:tcPr>
            <w:tcW w:w="4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8F81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OTT messaging/calling erodes voice/SMS; data monetization partially offsets</w:t>
            </w:r>
          </w:p>
        </w:tc>
        <w:tc>
          <w:tcPr>
            <w:tcW w:w="22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357A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Moderate</w:t>
            </w:r>
          </w:p>
        </w:tc>
      </w:tr>
      <w:tr w:rsidR="000F3A6D" w:rsidRPr="00C16C8C" w14:paraId="479A92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208E5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Competitive rivalry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C235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Four-player market, dominant SMP player, saturating subscriber base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58F6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High</w:t>
            </w:r>
          </w:p>
        </w:tc>
      </w:tr>
    </w:tbl>
    <w:p w14:paraId="0FEC26F6" w14:textId="77777777" w:rsidR="000F3A6D" w:rsidRPr="00C16C8C" w:rsidRDefault="00A00CCA">
      <w:pPr>
        <w:pStyle w:val="Heading2"/>
        <w:spacing w:before="260" w:after="120"/>
      </w:pPr>
      <w:bookmarkStart w:id="54" w:name="_Toc236781124"/>
      <w:bookmarkStart w:id="55" w:name="_Toc236781239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5.10  SWOT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Analysis</w:t>
      </w:r>
      <w:bookmarkEnd w:id="54"/>
      <w:bookmarkEnd w:id="55"/>
    </w:p>
    <w:p w14:paraId="719F76AB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lastRenderedPageBreak/>
        <w:drawing>
          <wp:inline distT="0" distB="0" distL="0" distR="0" wp14:anchorId="47D31259" wp14:editId="0773C7A9">
            <wp:extent cx="53340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6D05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>Exhibit 5.10 — Banglalink SWOT summary.</w:t>
      </w:r>
    </w:p>
    <w:p w14:paraId="2B9B05B3" w14:textId="77777777" w:rsidR="000F3A6D" w:rsidRPr="00C16C8C" w:rsidRDefault="00A00CCA">
      <w:pPr>
        <w:pStyle w:val="Heading2"/>
        <w:spacing w:before="260" w:after="120"/>
      </w:pPr>
      <w:bookmarkStart w:id="56" w:name="_Toc236781125"/>
      <w:bookmarkStart w:id="57" w:name="_Toc236781240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5.11  Value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Chain Analysis</w:t>
      </w:r>
      <w:bookmarkEnd w:id="56"/>
      <w:bookmarkEnd w:id="5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000"/>
      </w:tblGrid>
      <w:tr w:rsidR="000F3A6D" w:rsidRPr="00C16C8C" w14:paraId="0B745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6764C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Stage</w:t>
            </w:r>
          </w:p>
        </w:tc>
        <w:tc>
          <w:tcPr>
            <w:tcW w:w="34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52C62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Banglalink Position</w:t>
            </w:r>
          </w:p>
        </w:tc>
        <w:tc>
          <w:tcPr>
            <w:tcW w:w="30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47F4C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Strategic Implication</w:t>
            </w:r>
          </w:p>
        </w:tc>
      </w:tr>
      <w:tr w:rsidR="000F3A6D" w:rsidRPr="00C16C8C" w14:paraId="70770C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6D49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Spectrum &amp; licensing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56E2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 xml:space="preserve">BTRC-allocated; unified 5G/6G-capable 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licence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 xml:space="preserve"> held, unexercised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0BAB2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Optionality without near-term capital commitment</w:t>
            </w:r>
          </w:p>
        </w:tc>
      </w:tr>
      <w:tr w:rsidR="000F3A6D" w:rsidRPr="00C16C8C" w14:paraId="7AE87F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F539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Network infrastructure</w:t>
            </w:r>
          </w:p>
        </w:tc>
        <w:tc>
          <w:tcPr>
            <w:tcW w:w="3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79B0F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4G-complete (~88% coverage); no disclosed 5G investment</w:t>
            </w:r>
          </w:p>
        </w:tc>
        <w:tc>
          <w:tcPr>
            <w:tcW w:w="3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44CF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Capex should reallocate to capacity/quality, not coverage</w:t>
            </w:r>
          </w:p>
        </w:tc>
      </w:tr>
      <w:tr w:rsidR="000F3A6D" w:rsidRPr="00C16C8C" w14:paraId="416574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A16E2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Core connectivity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CBB0A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Value-positioned voice/SMS/data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0276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Mature, low-growth, cash-generative base</w:t>
            </w:r>
          </w:p>
        </w:tc>
      </w:tr>
      <w:tr w:rsidR="000F3A6D" w:rsidRPr="00C16C8C" w14:paraId="615F87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95F18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Digital services layer</w:t>
            </w:r>
          </w:p>
        </w:tc>
        <w:tc>
          <w:tcPr>
            <w:tcW w:w="3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2048A" w14:textId="77777777" w:rsidR="000F3A6D" w:rsidRPr="00C16C8C" w:rsidRDefault="00A00CCA">
            <w:pPr>
              <w:spacing w:before="40" w:after="40"/>
            </w:pPr>
            <w:proofErr w:type="spellStart"/>
            <w:r w:rsidRPr="00C16C8C">
              <w:rPr>
                <w:color w:val="222222"/>
                <w:sz w:val="18"/>
                <w:szCs w:val="18"/>
              </w:rPr>
              <w:t>MyBL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>, Toffee, RYZE</w:t>
            </w:r>
          </w:p>
        </w:tc>
        <w:tc>
          <w:tcPr>
            <w:tcW w:w="3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526D5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Differentiation layer; unproven standalone economics</w:t>
            </w:r>
          </w:p>
        </w:tc>
      </w:tr>
      <w:tr w:rsidR="000F3A6D" w:rsidRPr="00C16C8C" w14:paraId="32106C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3B1B6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Financial services layer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54D56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 xml:space="preserve">PSP 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licence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>, pre-scale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4BB4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Highest future value-add; highest execution risk</w:t>
            </w:r>
          </w:p>
        </w:tc>
      </w:tr>
      <w:tr w:rsidR="000F3A6D" w:rsidRPr="00C16C8C" w14:paraId="0BC5F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A8ED2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Distribution &amp; agent network</w:t>
            </w:r>
          </w:p>
        </w:tc>
        <w:tc>
          <w:tcPr>
            <w:tcW w:w="3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5D00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Not detailed in sources reviewed</w:t>
            </w:r>
          </w:p>
        </w:tc>
        <w:tc>
          <w:tcPr>
            <w:tcW w:w="3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9754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Data gap — relevant to PSP rollout feasibility</w:t>
            </w:r>
          </w:p>
        </w:tc>
      </w:tr>
    </w:tbl>
    <w:p w14:paraId="453AAB07" w14:textId="77777777" w:rsidR="000F3A6D" w:rsidRPr="00C16C8C" w:rsidRDefault="00A00CCA">
      <w:r w:rsidRPr="00C16C8C">
        <w:br w:type="page"/>
      </w:r>
    </w:p>
    <w:p w14:paraId="76C013B1" w14:textId="77777777" w:rsidR="000F3A6D" w:rsidRPr="00C16C8C" w:rsidRDefault="00A00CCA">
      <w:pPr>
        <w:pStyle w:val="Heading1"/>
        <w:pBdr>
          <w:bottom w:val="single" w:sz="12" w:space="4" w:color="C75B12"/>
        </w:pBdr>
        <w:spacing w:before="360" w:after="160"/>
      </w:pPr>
      <w:bookmarkStart w:id="58" w:name="_Toc236781126"/>
      <w:bookmarkStart w:id="59" w:name="_Toc236781241"/>
      <w:r w:rsidRPr="00C16C8C">
        <w:rPr>
          <w:rFonts w:eastAsia="Georgia"/>
          <w:b/>
          <w:bCs/>
          <w:color w:val="0B1622"/>
          <w:sz w:val="26"/>
          <w:szCs w:val="26"/>
        </w:rPr>
        <w:lastRenderedPageBreak/>
        <w:t>7.  IPO ADVISORY: WHY SHOULD BANGLALINK GO PUBLIC?</w:t>
      </w:r>
      <w:bookmarkEnd w:id="58"/>
      <w:bookmarkEnd w:id="59"/>
    </w:p>
    <w:p w14:paraId="41C05993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An IPO is a financing and governance decision, not a strategic destination in itself. We work through each candidate rationale, weigh it against the disadvantages, and land on a recommendation.</w:t>
      </w:r>
    </w:p>
    <w:p w14:paraId="0B392204" w14:textId="77777777" w:rsidR="000F3A6D" w:rsidRPr="00C16C8C" w:rsidRDefault="00A00CCA">
      <w:pPr>
        <w:pStyle w:val="Heading2"/>
        <w:spacing w:before="260" w:after="120"/>
      </w:pPr>
      <w:bookmarkStart w:id="60" w:name="_Toc236781127"/>
      <w:bookmarkStart w:id="61" w:name="_Toc236781242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7.1  Rationale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Assessment</w:t>
      </w:r>
      <w:bookmarkEnd w:id="60"/>
      <w:bookmarkEnd w:id="61"/>
    </w:p>
    <w:p w14:paraId="29DA9D1D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Capital raising — a primary componen</w:t>
      </w:r>
      <w:r w:rsidRPr="00C16C8C">
        <w:rPr>
          <w:color w:val="222222"/>
        </w:rPr>
        <w:t>t gives BDT-denominated equity access without FX translation risk, though precedent DSE telecom IPOs raised modest absolute sums (GP: BDT 4.86bn 2009; Robi: BDT 5.24bn 2020) relative to a multi-year 5G/fintech build-out. Best viewed as funding diversificat</w:t>
      </w:r>
      <w:r w:rsidRPr="00C16C8C">
        <w:rPr>
          <w:color w:val="222222"/>
        </w:rPr>
        <w:t xml:space="preserve">ion, not a primary capital-raising vehicle. Note also that VEON has a more recent, more relevant precedent for listing a subsidiary: </w:t>
      </w:r>
      <w:proofErr w:type="spellStart"/>
      <w:r w:rsidRPr="00C16C8C">
        <w:rPr>
          <w:color w:val="222222"/>
        </w:rPr>
        <w:t>Kyivstar</w:t>
      </w:r>
      <w:proofErr w:type="spellEnd"/>
      <w:r w:rsidRPr="00C16C8C">
        <w:rPr>
          <w:color w:val="222222"/>
        </w:rPr>
        <w:t xml:space="preserve"> Group Ltd. listed on Nasdaq in August 2025 via a business combination with Cohen Circle, a structure quite differe</w:t>
      </w:r>
      <w:r w:rsidRPr="00C16C8C">
        <w:rPr>
          <w:color w:val="222222"/>
        </w:rPr>
        <w:t>nt from a traditional DSE IPO and worth evaluating as an alternative listing venue/mechanism for Banglalink.</w:t>
      </w:r>
    </w:p>
    <w:p w14:paraId="42CA3B13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 xml:space="preserve">Debt </w:t>
      </w:r>
      <w:proofErr w:type="spellStart"/>
      <w:r w:rsidRPr="00C16C8C">
        <w:rPr>
          <w:color w:val="222222"/>
        </w:rPr>
        <w:t>optimisation</w:t>
      </w:r>
      <w:proofErr w:type="spellEnd"/>
      <w:r w:rsidRPr="00C16C8C">
        <w:rPr>
          <w:color w:val="222222"/>
        </w:rPr>
        <w:t xml:space="preserve"> — plausible but currently unverifiable; Banglalink's balance sheet and intercompany funding structure are undisclosed.</w:t>
      </w:r>
    </w:p>
    <w:p w14:paraId="63492410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Network in</w:t>
      </w:r>
      <w:r w:rsidRPr="00C16C8C">
        <w:rPr>
          <w:color w:val="222222"/>
        </w:rPr>
        <w:t>vestment / 5G — 4G coverage is effectively complete; the next cycle is capacity densification and 5G optionality. VEON's direct USD 250mn FDI commitment shows the parent can fund this without an IPO.</w:t>
      </w:r>
    </w:p>
    <w:p w14:paraId="07F963B1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Corporate governance — the most durable, least reversibl</w:t>
      </w:r>
      <w:r w:rsidRPr="00C16C8C">
        <w:rPr>
          <w:color w:val="222222"/>
        </w:rPr>
        <w:t>e benefit. Public-company status compels investor-grade reporting and disclosure discipline Banglalink has never had as a standalone entity.</w:t>
      </w:r>
    </w:p>
    <w:p w14:paraId="057223AB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Brand credibility — public-company status, following two established DSE precedents, confers credibility with consu</w:t>
      </w:r>
      <w:r w:rsidRPr="00C16C8C">
        <w:rPr>
          <w:color w:val="222222"/>
        </w:rPr>
        <w:t>mers, regulators, and government stakeholders.</w:t>
      </w:r>
    </w:p>
    <w:p w14:paraId="06CF0A9A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Employee ownership — a listing enables equity-based incentive structures not available under private subsidiary status; no disclosed management intention identified to date.</w:t>
      </w:r>
    </w:p>
    <w:p w14:paraId="4FD66141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Liquidity — provides VEON a mechani</w:t>
      </w:r>
      <w:r w:rsidRPr="00C16C8C">
        <w:rPr>
          <w:color w:val="222222"/>
        </w:rPr>
        <w:t>sm to monetize its stake over time and gives DSE investors a third large-cap telecom alternative to GP and Robi.</w:t>
      </w:r>
    </w:p>
    <w:p w14:paraId="6E5DD400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Future acquisitions — listed equity as acquisition currency; a distant, speculative rationale given no disclosed pipeline.</w:t>
      </w:r>
    </w:p>
    <w:p w14:paraId="209AF897" w14:textId="77777777" w:rsidR="000F3A6D" w:rsidRPr="00C16C8C" w:rsidRDefault="00A00CCA">
      <w:pPr>
        <w:pStyle w:val="Heading2"/>
        <w:spacing w:before="260" w:after="120"/>
      </w:pPr>
      <w:bookmarkStart w:id="62" w:name="_Toc236781128"/>
      <w:bookmarkStart w:id="63" w:name="_Toc236781243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7.2  Disadvantages</w:t>
      </w:r>
      <w:bookmarkEnd w:id="62"/>
      <w:bookmarkEnd w:id="63"/>
      <w:proofErr w:type="gramEnd"/>
    </w:p>
    <w:p w14:paraId="743F849B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Standalone reporting is narrower than full prospectus-grade disclosure — VEON now publishes Bangladesh segment rev</w:t>
      </w:r>
      <w:r w:rsidRPr="00C16C8C">
        <w:rPr>
          <w:color w:val="222222"/>
        </w:rPr>
        <w:t>enue, EBITDA, margin, digital revenue and 4G KPIs, but net debt, working capital and tax detail remain undisclosed, and Banglalink has no independent audit history distinct from VEON's consolidated audit. This is a materially smaller gap than the condition</w:t>
      </w:r>
      <w:r w:rsidRPr="00C16C8C">
        <w:rPr>
          <w:color w:val="222222"/>
        </w:rPr>
        <w:t>s behind the 2010 BSEC rejection, but still needs closing before a BSEC filing.</w:t>
      </w:r>
    </w:p>
    <w:p w14:paraId="43CF20A6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Recurring fiscal policy exposure — the FY2024 shock demonstrates this is not a one-off risk to price into an IPO window.</w:t>
      </w:r>
    </w:p>
    <w:p w14:paraId="7C246155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Loss of financing/operating flexibility from disclosure</w:t>
      </w:r>
      <w:r w:rsidRPr="00C16C8C">
        <w:rPr>
          <w:color w:val="222222"/>
        </w:rPr>
        <w:t xml:space="preserve"> and governance overhead.</w:t>
      </w:r>
    </w:p>
    <w:p w14:paraId="1AB702B3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 xml:space="preserve">Ownership and disclosure complexity around VEON's shareholder base, including </w:t>
      </w:r>
      <w:proofErr w:type="spellStart"/>
      <w:r w:rsidRPr="00C16C8C">
        <w:rPr>
          <w:color w:val="222222"/>
        </w:rPr>
        <w:t>LetterOne</w:t>
      </w:r>
      <w:proofErr w:type="spellEnd"/>
      <w:r w:rsidRPr="00C16C8C">
        <w:rPr>
          <w:color w:val="222222"/>
        </w:rPr>
        <w:t xml:space="preserve"> Holdings.</w:t>
      </w:r>
    </w:p>
    <w:p w14:paraId="79EF5A93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Modest capital-raising efficiency at Bangladesh IPO scale relative to build-out capital intensity.</w:t>
      </w:r>
    </w:p>
    <w:p w14:paraId="6E72B987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Market-timing risk — the growth n</w:t>
      </w:r>
      <w:r w:rsidRPr="00C16C8C">
        <w:rPr>
          <w:color w:val="222222"/>
        </w:rPr>
        <w:t>arrative is not yet fully evidenced given subscriber saturation and unresolved 5G economics.</w:t>
      </w:r>
    </w:p>
    <w:p w14:paraId="42446143" w14:textId="77777777" w:rsidR="000F3A6D" w:rsidRPr="00C16C8C" w:rsidRDefault="00A00CCA">
      <w:pPr>
        <w:pStyle w:val="Heading2"/>
        <w:spacing w:before="260" w:after="120"/>
      </w:pPr>
      <w:bookmarkStart w:id="64" w:name="_Toc236781129"/>
      <w:bookmarkStart w:id="65" w:name="_Toc236781244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7.3  Balanced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Recommendation</w:t>
      </w:r>
      <w:bookmarkEnd w:id="64"/>
      <w:bookmarkEnd w:id="65"/>
    </w:p>
    <w:p w14:paraId="54540C7F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 xml:space="preserve">The governance case for going public is strong and largely unconditional; the capital-raising and growth-financing case is weaker and </w:t>
      </w:r>
      <w:r w:rsidRPr="00C16C8C">
        <w:rPr>
          <w:color w:val="222222"/>
        </w:rPr>
        <w:t>does not, by itself, justify near-term execution. VEON's demonstrated willingness to fund Banglalink directly removes urgency but not merit. VEON's FY2025 Integrated Annual Report now provides one full year of confirmed, quantified turnaround evidence (EBI</w:t>
      </w:r>
      <w:r w:rsidRPr="00C16C8C">
        <w:rPr>
          <w:color w:val="222222"/>
        </w:rPr>
        <w:t>TDA +32.5% YoY, margin to 49.2%, digital revenue +8x YoY); this is meaningfully further along than the “not yet verified” position assessed earlier in this workstream. We recommend Banglalink pursue the remaining sub-segment reporting and audit-readiness g</w:t>
      </w:r>
      <w:r w:rsidRPr="00C16C8C">
        <w:rPr>
          <w:color w:val="222222"/>
        </w:rPr>
        <w:t>ap (net debt, working capital, tax detail) immediately, while deferring pricing and execution until: (</w:t>
      </w:r>
      <w:proofErr w:type="spellStart"/>
      <w:r w:rsidRPr="00C16C8C">
        <w:rPr>
          <w:color w:val="222222"/>
        </w:rPr>
        <w:t>i</w:t>
      </w:r>
      <w:proofErr w:type="spellEnd"/>
      <w:r w:rsidRPr="00C16C8C">
        <w:rPr>
          <w:color w:val="222222"/>
        </w:rPr>
        <w:t xml:space="preserve">) a second consecutive year of segment financials confirms the turnaround is structural rather </w:t>
      </w:r>
      <w:r w:rsidRPr="00C16C8C">
        <w:rPr>
          <w:color w:val="222222"/>
        </w:rPr>
        <w:lastRenderedPageBreak/>
        <w:t>than a single strong year, and (ii) the 700MHz/5G capital-</w:t>
      </w:r>
      <w:r w:rsidRPr="00C16C8C">
        <w:rPr>
          <w:color w:val="222222"/>
        </w:rPr>
        <w:t xml:space="preserve">planning picture, BSEC float/pricing mechanics, and </w:t>
      </w:r>
      <w:proofErr w:type="spellStart"/>
      <w:r w:rsidRPr="00C16C8C">
        <w:rPr>
          <w:color w:val="222222"/>
        </w:rPr>
        <w:t>Kyivstar</w:t>
      </w:r>
      <w:proofErr w:type="spellEnd"/>
      <w:r w:rsidRPr="00C16C8C">
        <w:rPr>
          <w:color w:val="222222"/>
        </w:rPr>
        <w:t>-style listing-structure alternatives are evaluated. We would also flag directly to the Board that VEON's own FY2025 Bangladesh outlook and stated key priorities do not currently include a DSE lis</w:t>
      </w:r>
      <w:r w:rsidRPr="00C16C8C">
        <w:rPr>
          <w:color w:val="222222"/>
        </w:rPr>
        <w:t>ting — this should be raised as an open question with VEON corporate development before further workstream resourcing.</w:t>
      </w:r>
    </w:p>
    <w:p w14:paraId="37705714" w14:textId="77777777" w:rsidR="000F3A6D" w:rsidRPr="00C16C8C" w:rsidRDefault="00A00CCA">
      <w:r w:rsidRPr="00C16C8C">
        <w:br w:type="page"/>
      </w:r>
    </w:p>
    <w:p w14:paraId="6BC9662A" w14:textId="77777777" w:rsidR="000F3A6D" w:rsidRPr="00C16C8C" w:rsidRDefault="00A00CCA">
      <w:pPr>
        <w:pStyle w:val="Heading1"/>
        <w:pBdr>
          <w:bottom w:val="single" w:sz="12" w:space="4" w:color="C75B12"/>
        </w:pBdr>
        <w:spacing w:before="360" w:after="160"/>
      </w:pPr>
      <w:bookmarkStart w:id="66" w:name="_Toc236781130"/>
      <w:bookmarkStart w:id="67" w:name="_Toc236781245"/>
      <w:r w:rsidRPr="00C16C8C">
        <w:rPr>
          <w:rFonts w:eastAsia="Georgia"/>
          <w:b/>
          <w:bCs/>
          <w:color w:val="0B1622"/>
          <w:sz w:val="26"/>
          <w:szCs w:val="26"/>
        </w:rPr>
        <w:lastRenderedPageBreak/>
        <w:t>9.  VALUATION FRAMEWORK RECOMMENDATION</w:t>
      </w:r>
      <w:bookmarkEnd w:id="66"/>
      <w:bookmarkEnd w:id="67"/>
    </w:p>
    <w:p w14:paraId="28615989" w14:textId="77777777" w:rsidR="000F3A6D" w:rsidRPr="00C16C8C" w:rsidRDefault="00A00CCA">
      <w:pPr>
        <w:spacing w:before="80" w:after="200"/>
      </w:pPr>
      <w:r w:rsidRPr="00C16C8C">
        <w:rPr>
          <w:i/>
          <w:iCs/>
          <w:color w:val="44576B"/>
          <w:sz w:val="17"/>
          <w:szCs w:val="17"/>
        </w:rPr>
        <w:t>No valuation figures are presented as final in this section by design — framework and assumption</w:t>
      </w:r>
      <w:r w:rsidRPr="00C16C8C">
        <w:rPr>
          <w:i/>
          <w:iCs/>
          <w:color w:val="44576B"/>
          <w:sz w:val="17"/>
          <w:szCs w:val="17"/>
        </w:rPr>
        <w:t xml:space="preserve"> architecture only.</w:t>
      </w:r>
    </w:p>
    <w:p w14:paraId="39B4B569" w14:textId="77777777" w:rsidR="000F3A6D" w:rsidRPr="00C16C8C" w:rsidRDefault="00A00CCA">
      <w:pPr>
        <w:pStyle w:val="Heading2"/>
        <w:spacing w:before="260" w:after="120"/>
      </w:pPr>
      <w:bookmarkStart w:id="68" w:name="_Toc236781131"/>
      <w:bookmarkStart w:id="69" w:name="_Toc236781246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9.1  Methodology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Comparison</w:t>
      </w:r>
      <w:bookmarkEnd w:id="68"/>
      <w:bookmarkEnd w:id="6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2800"/>
      </w:tblGrid>
      <w:tr w:rsidR="000F3A6D" w:rsidRPr="00C16C8C" w14:paraId="49C8B2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05269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44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67B1B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Appropriateness Given Data Constraints</w:t>
            </w:r>
          </w:p>
        </w:tc>
        <w:tc>
          <w:tcPr>
            <w:tcW w:w="28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DA967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Recommended Role</w:t>
            </w:r>
          </w:p>
        </w:tc>
      </w:tr>
      <w:tr w:rsidR="000F3A6D" w:rsidRPr="00C16C8C" w14:paraId="0D32DF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764E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DCF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79B0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Not currently viable — requires management business plan, none disclosed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27D6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Defer — placeholder pending business-plan inputs</w:t>
            </w:r>
          </w:p>
        </w:tc>
      </w:tr>
      <w:tr w:rsidR="000F3A6D" w:rsidRPr="00C16C8C" w14:paraId="316AC9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F575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 xml:space="preserve">Trading 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Comparables</w:t>
            </w:r>
            <w:proofErr w:type="spellEnd"/>
          </w:p>
        </w:tc>
        <w:tc>
          <w:tcPr>
            <w:tcW w:w="4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59499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Partially viable — GP/Robi are clean direct comps; Banglalink-side inputs are the constraint</w:t>
            </w:r>
          </w:p>
        </w:tc>
        <w:tc>
          <w:tcPr>
            <w:tcW w:w="28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260D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Primary near-term method, with every Banglalink input flagged as assumption</w:t>
            </w:r>
          </w:p>
        </w:tc>
      </w:tr>
      <w:tr w:rsidR="000F3A6D" w:rsidRPr="00C16C8C" w14:paraId="6FBDE5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BCEC6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Precedent Transactions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8618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Limited — GP (2009)/Robi (2020) are dated and pre-date current fiscal regime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2BC4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Secondary/cross-check for structure, not pricing</w:t>
            </w:r>
          </w:p>
        </w:tc>
      </w:tr>
    </w:tbl>
    <w:p w14:paraId="630C0E0F" w14:textId="77777777" w:rsidR="000F3A6D" w:rsidRPr="00C16C8C" w:rsidRDefault="00A00CCA">
      <w:pPr>
        <w:pStyle w:val="Heading2"/>
        <w:spacing w:before="260" w:after="120"/>
      </w:pPr>
      <w:bookmarkStart w:id="70" w:name="_Toc236781132"/>
      <w:bookmarkStart w:id="71" w:name="_Toc236781247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9.2  Multiple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>-by-Multiple Assessment</w:t>
      </w:r>
      <w:bookmarkEnd w:id="70"/>
      <w:bookmarkEnd w:id="7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400"/>
      </w:tblGrid>
      <w:tr w:rsidR="000F3A6D" w:rsidRPr="00C16C8C" w14:paraId="2C24D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44504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Multiple</w:t>
            </w:r>
          </w:p>
        </w:tc>
        <w:tc>
          <w:tcPr>
            <w:tcW w:w="38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8960D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Use Case</w:t>
            </w:r>
          </w:p>
        </w:tc>
        <w:tc>
          <w:tcPr>
            <w:tcW w:w="34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14444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Constraint</w:t>
            </w:r>
          </w:p>
        </w:tc>
      </w:tr>
      <w:tr w:rsidR="000F3A6D" w:rsidRPr="00C16C8C" w14:paraId="1621C8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9A92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EV/EBITDA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9DF6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Preferred primary multiple — capital-structure-neutral, sector convention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B734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Segment EBITDA now disclosed (VEON FY2025 report, BDT 27.5bn/~USD 226mn); net debt and capital structure still required to bridge EV to equity value</w:t>
            </w:r>
          </w:p>
        </w:tc>
      </w:tr>
      <w:tr w:rsidR="000F3A6D" w:rsidRPr="00C16C8C" w14:paraId="162EC5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9437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EV/Revenue</w:t>
            </w:r>
          </w:p>
        </w:tc>
        <w:tc>
          <w:tcPr>
            <w:tcW w:w="38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EBD6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Cross-check when EBITDA is uncertain</w:t>
            </w:r>
          </w:p>
        </w:tc>
        <w:tc>
          <w:tcPr>
            <w:tcW w:w="3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595C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Loses sensitivity to real profitability differences</w:t>
            </w:r>
          </w:p>
        </w:tc>
      </w:tr>
      <w:tr w:rsidR="000F3A6D" w:rsidRPr="00C16C8C" w14:paraId="4132F9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A0A2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P/E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3215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Relevant for post-listing/dividend-capacity framing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253BA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Not meaningful pre-IPO — no standalone net income or share count yet</w:t>
            </w:r>
          </w:p>
        </w:tc>
      </w:tr>
    </w:tbl>
    <w:p w14:paraId="5BAC21B7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drawing>
          <wp:inline distT="0" distB="0" distL="0" distR="0" wp14:anchorId="7FBF6460" wp14:editId="6C7AA9BD">
            <wp:extent cx="5334000" cy="2619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5107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>Exhibit 9.1 — DSE-listed telecom peer trading multiples (Source: stockanalysis.com).</w:t>
      </w:r>
    </w:p>
    <w:p w14:paraId="22AF7ACC" w14:textId="77777777" w:rsidR="000F3A6D" w:rsidRPr="00C16C8C" w:rsidRDefault="00A00CCA">
      <w:pPr>
        <w:pStyle w:val="Heading2"/>
        <w:spacing w:before="260" w:after="120"/>
      </w:pPr>
      <w:bookmarkStart w:id="72" w:name="_Toc236781133"/>
      <w:bookmarkStart w:id="73" w:name="_Toc236781248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9.3  Assumptions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Required Before Any Number Can Be Produced</w:t>
      </w:r>
      <w:bookmarkEnd w:id="72"/>
      <w:bookmarkEnd w:id="73"/>
    </w:p>
    <w:p w14:paraId="4106A453" w14:textId="77777777" w:rsidR="000F3A6D" w:rsidRPr="00C16C8C" w:rsidRDefault="00A00CCA">
      <w:pPr>
        <w:pStyle w:val="Heading3"/>
        <w:spacing w:before="180" w:after="90"/>
      </w:pPr>
      <w:bookmarkStart w:id="74" w:name="_Toc236781134"/>
      <w:r w:rsidRPr="00C16C8C">
        <w:rPr>
          <w:rFonts w:eastAsia="Georgia"/>
          <w:b/>
          <w:bCs/>
          <w:color w:val="C75B12"/>
          <w:sz w:val="19"/>
          <w:szCs w:val="19"/>
        </w:rPr>
        <w:t>A. Financial Base Data</w:t>
      </w:r>
      <w:bookmarkEnd w:id="74"/>
    </w:p>
    <w:p w14:paraId="36DAD12E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Revenue and EBITDA/margin now disclosed for FY2024-FY2025 (VEON Integrated Annual Report); a 3-year trend, net income, and tax position remain outstanding requests</w:t>
      </w:r>
    </w:p>
    <w:p w14:paraId="0397A110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lastRenderedPageBreak/>
        <w:t xml:space="preserve">Net debt </w:t>
      </w:r>
      <w:r w:rsidRPr="00C16C8C">
        <w:rPr>
          <w:color w:val="222222"/>
        </w:rPr>
        <w:t>and intercompany balances with VEON group</w:t>
      </w:r>
    </w:p>
    <w:p w14:paraId="6B0AA3FF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Capex history and forward capex plan; working capital position and trend</w:t>
      </w:r>
    </w:p>
    <w:p w14:paraId="12426EE4" w14:textId="77777777" w:rsidR="000F3A6D" w:rsidRPr="00C16C8C" w:rsidRDefault="00A00CCA">
      <w:pPr>
        <w:pStyle w:val="Heading3"/>
        <w:spacing w:before="180" w:after="90"/>
      </w:pPr>
      <w:bookmarkStart w:id="75" w:name="_Toc236781135"/>
      <w:r w:rsidRPr="00C16C8C">
        <w:rPr>
          <w:rFonts w:eastAsia="Georgia"/>
          <w:b/>
          <w:bCs/>
          <w:color w:val="C75B12"/>
          <w:sz w:val="19"/>
          <w:szCs w:val="19"/>
        </w:rPr>
        <w:t>B. Peer &amp; Market Data</w:t>
      </w:r>
      <w:bookmarkEnd w:id="75"/>
    </w:p>
    <w:p w14:paraId="19A4E10B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GP/Robi multiples at transaction reference date; peer capital structure; DSE index-level liquidity at listing-window da</w:t>
      </w:r>
      <w:r w:rsidRPr="00C16C8C">
        <w:rPr>
          <w:color w:val="222222"/>
        </w:rPr>
        <w:t xml:space="preserve">te; regional </w:t>
      </w:r>
      <w:proofErr w:type="spellStart"/>
      <w:r w:rsidRPr="00C16C8C">
        <w:rPr>
          <w:color w:val="222222"/>
        </w:rPr>
        <w:t>comparables</w:t>
      </w:r>
      <w:proofErr w:type="spellEnd"/>
      <w:r w:rsidRPr="00C16C8C">
        <w:rPr>
          <w:color w:val="222222"/>
        </w:rPr>
        <w:t xml:space="preserve"> with explicit screening criteria</w:t>
      </w:r>
    </w:p>
    <w:p w14:paraId="655A3005" w14:textId="77777777" w:rsidR="000F3A6D" w:rsidRPr="00C16C8C" w:rsidRDefault="00A00CCA">
      <w:pPr>
        <w:pStyle w:val="Heading3"/>
        <w:spacing w:before="180" w:after="90"/>
      </w:pPr>
      <w:bookmarkStart w:id="76" w:name="_Toc236781136"/>
      <w:r w:rsidRPr="00C16C8C">
        <w:rPr>
          <w:rFonts w:eastAsia="Georgia"/>
          <w:b/>
          <w:bCs/>
          <w:color w:val="C75B12"/>
          <w:sz w:val="19"/>
          <w:szCs w:val="19"/>
        </w:rPr>
        <w:t>C. Discount/Premium Adjustments</w:t>
      </w:r>
      <w:bookmarkEnd w:id="76"/>
    </w:p>
    <w:p w14:paraId="4FF12587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Scale discount, liquidity/marketability discount, fintech growth premium, country/regulatory risk premium</w:t>
      </w:r>
    </w:p>
    <w:p w14:paraId="71399397" w14:textId="77777777" w:rsidR="000F3A6D" w:rsidRPr="00C16C8C" w:rsidRDefault="00A00CCA">
      <w:pPr>
        <w:pStyle w:val="Heading3"/>
        <w:spacing w:before="180" w:after="90"/>
      </w:pPr>
      <w:bookmarkStart w:id="77" w:name="_Toc236781137"/>
      <w:r w:rsidRPr="00C16C8C">
        <w:rPr>
          <w:rFonts w:eastAsia="Georgia"/>
          <w:b/>
          <w:bCs/>
          <w:color w:val="C75B12"/>
          <w:sz w:val="19"/>
          <w:szCs w:val="19"/>
        </w:rPr>
        <w:t>D. IPO-Specific Structural Assumptions</w:t>
      </w:r>
      <w:bookmarkEnd w:id="77"/>
    </w:p>
    <w:p w14:paraId="48E0091B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Primary/secondary split; target free float; pricing mechanism; use-of-proceeds allocation; VEON lock-up terms</w:t>
      </w:r>
    </w:p>
    <w:p w14:paraId="55CA3762" w14:textId="77777777" w:rsidR="000F3A6D" w:rsidRPr="00C16C8C" w:rsidRDefault="00A00CCA">
      <w:pPr>
        <w:pStyle w:val="Heading3"/>
        <w:spacing w:before="180" w:after="90"/>
      </w:pPr>
      <w:bookmarkStart w:id="78" w:name="_Toc236781138"/>
      <w:r w:rsidRPr="00C16C8C">
        <w:rPr>
          <w:rFonts w:eastAsia="Georgia"/>
          <w:b/>
          <w:bCs/>
          <w:color w:val="C75B12"/>
          <w:sz w:val="19"/>
          <w:szCs w:val="19"/>
        </w:rPr>
        <w:t>E. Macro/FX Assumptions</w:t>
      </w:r>
      <w:bookmarkEnd w:id="78"/>
    </w:p>
    <w:p w14:paraId="49BB9DFE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USD/BDT basis and convention; inflation/policy-rate assumptions; capital repatriation mechanics</w:t>
      </w:r>
    </w:p>
    <w:p w14:paraId="3DA8E89F" w14:textId="77777777" w:rsidR="000F3A6D" w:rsidRPr="00C16C8C" w:rsidRDefault="00A00CCA">
      <w:pPr>
        <w:pStyle w:val="Heading3"/>
        <w:spacing w:before="180" w:after="90"/>
      </w:pPr>
      <w:bookmarkStart w:id="79" w:name="_Toc236781139"/>
      <w:r w:rsidRPr="00C16C8C">
        <w:rPr>
          <w:rFonts w:eastAsia="Georgia"/>
          <w:b/>
          <w:bCs/>
          <w:color w:val="C75B12"/>
          <w:sz w:val="19"/>
          <w:szCs w:val="19"/>
        </w:rPr>
        <w:t>F. DCF-Specific Assumptions (future activation only)</w:t>
      </w:r>
      <w:bookmarkEnd w:id="79"/>
    </w:p>
    <w:p w14:paraId="13F10351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 xml:space="preserve">Forecast period and growth trajectory; margin trajectory; capex intensity trajectory; WACC build; terminal </w:t>
      </w:r>
      <w:r w:rsidRPr="00C16C8C">
        <w:rPr>
          <w:color w:val="222222"/>
        </w:rPr>
        <w:t>growth; fintech sum-of-the-parts treatment</w:t>
      </w:r>
    </w:p>
    <w:p w14:paraId="2018EEF4" w14:textId="77777777" w:rsidR="000F3A6D" w:rsidRPr="00C16C8C" w:rsidRDefault="00A00CCA">
      <w:pPr>
        <w:spacing w:before="80" w:after="200"/>
      </w:pPr>
      <w:r w:rsidRPr="00C16C8C">
        <w:rPr>
          <w:i/>
          <w:iCs/>
          <w:color w:val="44576B"/>
          <w:sz w:val="17"/>
          <w:szCs w:val="17"/>
        </w:rPr>
        <w:t>Every assumption must be tagged as (a) sourced-and-cited, (b) management-confirmed, or (c) analyst-assumed-pending-validation — no blended or unlabeled inputs in any output shared outside this working team.</w:t>
      </w:r>
    </w:p>
    <w:p w14:paraId="7793C6C7" w14:textId="77777777" w:rsidR="000F3A6D" w:rsidRPr="00C16C8C" w:rsidRDefault="00A00CCA">
      <w:pPr>
        <w:pStyle w:val="Heading2"/>
        <w:spacing w:before="260" w:after="120"/>
      </w:pPr>
      <w:bookmarkStart w:id="80" w:name="_Toc236781140"/>
      <w:bookmarkStart w:id="81" w:name="_Toc236781249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9.4  I</w:t>
      </w:r>
      <w:r w:rsidRPr="00C16C8C">
        <w:rPr>
          <w:rFonts w:eastAsia="Georgia"/>
          <w:b/>
          <w:bCs/>
          <w:color w:val="13263A"/>
          <w:sz w:val="22"/>
          <w:szCs w:val="22"/>
        </w:rPr>
        <w:t>llustrative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Football Field (Discussion Scaffold)</w:t>
      </w:r>
      <w:bookmarkEnd w:id="80"/>
      <w:bookmarkEnd w:id="81"/>
    </w:p>
    <w:p w14:paraId="7B3DACB6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drawing>
          <wp:inline distT="0" distB="0" distL="0" distR="0" wp14:anchorId="38CEA308" wp14:editId="6A514EFB">
            <wp:extent cx="5334000" cy="2552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BC07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 xml:space="preserve">Exhibit 9.4 — Illustrative valuation football field, USD </w:t>
      </w:r>
      <w:proofErr w:type="spellStart"/>
      <w:r w:rsidRPr="00C16C8C">
        <w:rPr>
          <w:i/>
          <w:iCs/>
          <w:color w:val="44576B"/>
          <w:sz w:val="16"/>
          <w:szCs w:val="16"/>
        </w:rPr>
        <w:t>mn</w:t>
      </w:r>
      <w:proofErr w:type="spellEnd"/>
      <w:r w:rsidRPr="00C16C8C">
        <w:rPr>
          <w:i/>
          <w:iCs/>
          <w:color w:val="44576B"/>
          <w:sz w:val="16"/>
          <w:szCs w:val="16"/>
        </w:rPr>
        <w:t xml:space="preserve"> enterprise value (pre-data room; NOT a valuation opinion).</w:t>
      </w:r>
    </w:p>
    <w:p w14:paraId="11952067" w14:textId="77777777" w:rsidR="000F3A6D" w:rsidRPr="00C16C8C" w:rsidRDefault="00A00CCA">
      <w:pPr>
        <w:pStyle w:val="Heading2"/>
        <w:spacing w:before="260" w:after="120"/>
      </w:pPr>
      <w:bookmarkStart w:id="82" w:name="_Toc236781141"/>
      <w:bookmarkStart w:id="83" w:name="_Toc236781250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9.5  Excel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Model Structure</w:t>
      </w:r>
      <w:bookmarkEnd w:id="82"/>
      <w:bookmarkEnd w:id="83"/>
    </w:p>
    <w:p w14:paraId="2108CA50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Workbook: Banglalink_IPO_Valuation_Model_v[x].xlsx — single</w:t>
      </w:r>
      <w:r w:rsidRPr="00C16C8C">
        <w:rPr>
          <w:color w:val="222222"/>
        </w:rPr>
        <w:t xml:space="preserve"> assumptions sheet drives all calculations; every external-vs-assumed input color-coded and source-tagged.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5100"/>
      </w:tblGrid>
      <w:tr w:rsidR="000F3A6D" w:rsidRPr="00C16C8C" w14:paraId="7638D8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6300F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6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E96DA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Worksheet</w:t>
            </w:r>
          </w:p>
        </w:tc>
        <w:tc>
          <w:tcPr>
            <w:tcW w:w="51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DF625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0F3A6D" w:rsidRPr="00C16C8C" w14:paraId="766A56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A6EE5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D2FB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Cover &amp; Version Control</w:t>
            </w:r>
          </w:p>
        </w:tc>
        <w:tc>
          <w:tcPr>
            <w:tcW w:w="5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C684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Title, confidentiality legend, version history, sign-off log</w:t>
            </w:r>
          </w:p>
        </w:tc>
      </w:tr>
      <w:tr w:rsidR="000F3A6D" w:rsidRPr="00C16C8C" w14:paraId="1DA98D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8F26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7B2D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Instructions &amp; Color-Key Legend</w:t>
            </w:r>
          </w:p>
        </w:tc>
        <w:tc>
          <w:tcPr>
            <w:tcW w:w="51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45A5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Color coding explanation and navigation map</w:t>
            </w:r>
          </w:p>
        </w:tc>
      </w:tr>
      <w:tr w:rsidR="000F3A6D" w:rsidRPr="00C16C8C" w14:paraId="396120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6D05A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3BF2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Master Assumptions</w:t>
            </w:r>
          </w:p>
        </w:tc>
        <w:tc>
          <w:tcPr>
            <w:tcW w:w="5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7EB78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Single source of truth for every Section 9.3 assumption</w:t>
            </w:r>
          </w:p>
        </w:tc>
      </w:tr>
      <w:tr w:rsidR="000F3A6D" w:rsidRPr="00C16C8C" w14:paraId="06CE0A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9F99F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lastRenderedPageBreak/>
              <w:t>4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A1F7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FX &amp; Macro Inputs</w:t>
            </w:r>
          </w:p>
        </w:tc>
        <w:tc>
          <w:tcPr>
            <w:tcW w:w="51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5850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USD/BDT rate(s), inflation, policy rate, translation convention</w:t>
            </w:r>
          </w:p>
        </w:tc>
      </w:tr>
      <w:tr w:rsidR="000F3A6D" w:rsidRPr="00C16C8C" w14:paraId="78F453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1102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60EC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Data Room Tracker</w:t>
            </w:r>
          </w:p>
        </w:tc>
        <w:tc>
          <w:tcPr>
            <w:tcW w:w="5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28565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Status log of disclosure items requested/received/validated</w:t>
            </w:r>
          </w:p>
        </w:tc>
      </w:tr>
      <w:tr w:rsidR="000F3A6D" w:rsidRPr="00C16C8C" w14:paraId="4A7794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3E282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5709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Banglalink Historical Financials (Disclosed)</w:t>
            </w:r>
          </w:p>
        </w:tc>
        <w:tc>
          <w:tcPr>
            <w:tcW w:w="51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C2E4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Public data points only, clearly separated from estimates</w:t>
            </w:r>
          </w:p>
        </w:tc>
      </w:tr>
      <w:tr w:rsidR="000F3A6D" w:rsidRPr="00C16C8C" w14:paraId="183CB3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6F2F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4A5F5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Banglalink Illustrative Financials (Estimated)</w:t>
            </w:r>
          </w:p>
        </w:tc>
        <w:tc>
          <w:tcPr>
            <w:tcW w:w="5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F7DDF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Analyst estimates, visually distinct from Sheet 6</w:t>
            </w:r>
          </w:p>
        </w:tc>
      </w:tr>
      <w:tr w:rsidR="000F3A6D" w:rsidRPr="00C16C8C" w14:paraId="0B98CF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20B4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8–9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6EA12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Peer Data — Grameenphone / Robi Axiata</w:t>
            </w:r>
          </w:p>
        </w:tc>
        <w:tc>
          <w:tcPr>
            <w:tcW w:w="51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EA18F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Financials, capital structure, multiples, trend, source links</w:t>
            </w:r>
          </w:p>
        </w:tc>
      </w:tr>
      <w:tr w:rsidR="000F3A6D" w:rsidRPr="00C16C8C" w14:paraId="5276CB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BB7E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10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B694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Trading Comps Analysis</w:t>
            </w:r>
          </w:p>
        </w:tc>
        <w:tc>
          <w:tcPr>
            <w:tcW w:w="5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3418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 xml:space="preserve">Peer multiple </w:t>
            </w:r>
            <w:proofErr w:type="gramStart"/>
            <w:r w:rsidRPr="00C16C8C">
              <w:rPr>
                <w:color w:val="222222"/>
                <w:sz w:val="18"/>
                <w:szCs w:val="18"/>
              </w:rPr>
              <w:t>table</w:t>
            </w:r>
            <w:proofErr w:type="gramEnd"/>
            <w:r w:rsidRPr="00C16C8C">
              <w:rPr>
                <w:color w:val="222222"/>
                <w:sz w:val="18"/>
                <w:szCs w:val="18"/>
              </w:rPr>
              <w:t>, discount/premium inputs, implied range</w:t>
            </w:r>
          </w:p>
        </w:tc>
      </w:tr>
      <w:tr w:rsidR="000F3A6D" w:rsidRPr="00C16C8C" w14:paraId="0B3889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0F66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11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8C01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Precedent Transactions</w:t>
            </w:r>
          </w:p>
        </w:tc>
        <w:tc>
          <w:tcPr>
            <w:tcW w:w="51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E8F9F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GP 2009, Robi 2020, regional precedents with comparability screen</w:t>
            </w:r>
          </w:p>
        </w:tc>
      </w:tr>
      <w:tr w:rsidR="000F3A6D" w:rsidRPr="00C16C8C" w14:paraId="3A8461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C8E5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12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E0C3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DCF Model (Placeholder/Inactive)</w:t>
            </w:r>
          </w:p>
        </w:tc>
        <w:tc>
          <w:tcPr>
            <w:tcW w:w="5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7FEB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Full architecture, marked inactive pending business plan</w:t>
            </w:r>
          </w:p>
        </w:tc>
      </w:tr>
      <w:tr w:rsidR="000F3A6D" w:rsidRPr="00C16C8C" w14:paraId="4564F3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1680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13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166A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WACC Build</w:t>
            </w:r>
          </w:p>
        </w:tc>
        <w:tc>
          <w:tcPr>
            <w:tcW w:w="51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B194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Cost of equity/debt, target capital structure — feeds Sheet 12</w:t>
            </w:r>
          </w:p>
        </w:tc>
      </w:tr>
      <w:tr w:rsidR="000F3A6D" w:rsidRPr="00C16C8C" w14:paraId="554042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C75F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14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73CF5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Sensitivity Tables</w:t>
            </w:r>
          </w:p>
        </w:tc>
        <w:tc>
          <w:tcPr>
            <w:tcW w:w="5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A58E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Two-way data tables per active methodology</w:t>
            </w:r>
          </w:p>
        </w:tc>
      </w:tr>
      <w:tr w:rsidR="000F3A6D" w:rsidRPr="00C16C8C" w14:paraId="2A06AE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6FE4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15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5311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Football Field Summary</w:t>
            </w:r>
          </w:p>
        </w:tc>
        <w:tc>
          <w:tcPr>
            <w:tcW w:w="51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86C7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Consolidated range, chart-ready, traceable to source sheets</w:t>
            </w:r>
          </w:p>
        </w:tc>
      </w:tr>
      <w:tr w:rsidR="000F3A6D" w:rsidRPr="00C16C8C" w14:paraId="1A5495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1D12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16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1A63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IPO Structure &amp; Proceeds</w:t>
            </w:r>
          </w:p>
        </w:tc>
        <w:tc>
          <w:tcPr>
            <w:tcW w:w="5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1D4F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Primary/secondary split, float sizing, use-of-proceeds, pro-forma structure</w:t>
            </w:r>
          </w:p>
        </w:tc>
      </w:tr>
      <w:tr w:rsidR="000F3A6D" w:rsidRPr="00C16C8C" w14:paraId="1330ED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8B9D9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17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E8489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Ownership &amp; Cap Table</w:t>
            </w:r>
          </w:p>
        </w:tc>
        <w:tc>
          <w:tcPr>
            <w:tcW w:w="51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F5949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VEON pre/post-IPO stake, dilution, lock-up schedule</w:t>
            </w:r>
          </w:p>
        </w:tc>
      </w:tr>
      <w:tr w:rsidR="000F3A6D" w:rsidRPr="00C16C8C" w14:paraId="625794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1350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18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B2195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Output — Board Summary Exhibit</w:t>
            </w:r>
          </w:p>
        </w:tc>
        <w:tc>
          <w:tcPr>
            <w:tcW w:w="5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4302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Print-ready page for direct Board deck use</w:t>
            </w:r>
          </w:p>
        </w:tc>
      </w:tr>
      <w:tr w:rsidR="000F3A6D" w:rsidRPr="00C16C8C" w14:paraId="0985E5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5EC0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19</w:t>
            </w:r>
          </w:p>
        </w:tc>
        <w:tc>
          <w:tcPr>
            <w:tcW w:w="3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D706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Change Log &amp; Audit Trail</w:t>
            </w:r>
          </w:p>
        </w:tc>
        <w:tc>
          <w:tcPr>
            <w:tcW w:w="51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F37A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Version-to-version assumption change record with rationale</w:t>
            </w:r>
          </w:p>
        </w:tc>
      </w:tr>
    </w:tbl>
    <w:p w14:paraId="70B48532" w14:textId="77777777" w:rsidR="000F3A6D" w:rsidRPr="00C16C8C" w:rsidRDefault="00A00CCA">
      <w:r w:rsidRPr="00C16C8C">
        <w:br w:type="page"/>
      </w:r>
    </w:p>
    <w:p w14:paraId="5866B750" w14:textId="77777777" w:rsidR="000F3A6D" w:rsidRPr="00C16C8C" w:rsidRDefault="00A00CCA">
      <w:pPr>
        <w:pStyle w:val="Heading1"/>
        <w:pBdr>
          <w:bottom w:val="single" w:sz="12" w:space="4" w:color="C75B12"/>
        </w:pBdr>
        <w:spacing w:before="360" w:after="160"/>
      </w:pPr>
      <w:bookmarkStart w:id="84" w:name="_Toc236781142"/>
      <w:bookmarkStart w:id="85" w:name="_Toc236781251"/>
      <w:r w:rsidRPr="00C16C8C">
        <w:rPr>
          <w:rFonts w:eastAsia="Georgia"/>
          <w:b/>
          <w:bCs/>
          <w:color w:val="0B1622"/>
          <w:sz w:val="26"/>
          <w:szCs w:val="26"/>
        </w:rPr>
        <w:lastRenderedPageBreak/>
        <w:t>12.  RISK ANALYSIS</w:t>
      </w:r>
      <w:bookmarkEnd w:id="84"/>
      <w:bookmarkEnd w:id="85"/>
    </w:p>
    <w:p w14:paraId="7793647B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Risks are assessed on likelihood (12–</w:t>
      </w:r>
      <w:proofErr w:type="gramStart"/>
      <w:r w:rsidRPr="00C16C8C">
        <w:rPr>
          <w:color w:val="222222"/>
        </w:rPr>
        <w:t>24 month</w:t>
      </w:r>
      <w:proofErr w:type="gramEnd"/>
      <w:r w:rsidRPr="00C16C8C">
        <w:rPr>
          <w:color w:val="222222"/>
        </w:rPr>
        <w:t xml:space="preserve"> horizon) and impact, ranked on combined severity. Where a risk has already been evidenced elsewhere in this workstream, we cite the specific precedent rather than treat it as theoretical.</w:t>
      </w:r>
    </w:p>
    <w:p w14:paraId="6C82BC84" w14:textId="77777777" w:rsidR="000F3A6D" w:rsidRPr="00C16C8C" w:rsidRDefault="00A00CCA">
      <w:pPr>
        <w:spacing w:before="160" w:after="60"/>
        <w:jc w:val="center"/>
      </w:pPr>
      <w:r w:rsidRPr="00C16C8C">
        <w:rPr>
          <w:noProof/>
        </w:rPr>
        <w:drawing>
          <wp:inline distT="0" distB="0" distL="0" distR="0" wp14:anchorId="4C4FF4A9" wp14:editId="3269CC70">
            <wp:extent cx="5334000" cy="3905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FB47" w14:textId="77777777" w:rsidR="000F3A6D" w:rsidRPr="00C16C8C" w:rsidRDefault="00A00CCA">
      <w:pPr>
        <w:spacing w:after="220"/>
        <w:jc w:val="center"/>
      </w:pPr>
      <w:r w:rsidRPr="00C16C8C">
        <w:rPr>
          <w:i/>
          <w:iCs/>
          <w:color w:val="44576B"/>
          <w:sz w:val="16"/>
          <w:szCs w:val="16"/>
        </w:rPr>
        <w:t xml:space="preserve">Exhibit 12.1 — Risk </w:t>
      </w:r>
      <w:r w:rsidRPr="00C16C8C">
        <w:rPr>
          <w:i/>
          <w:iCs/>
          <w:color w:val="44576B"/>
          <w:sz w:val="16"/>
          <w:szCs w:val="16"/>
        </w:rPr>
        <w:t>heat map: likelihood vs. impact (analyst assessment).</w:t>
      </w:r>
    </w:p>
    <w:p w14:paraId="4B62BF37" w14:textId="77777777" w:rsidR="000F3A6D" w:rsidRPr="00C16C8C" w:rsidRDefault="00A00CCA">
      <w:pPr>
        <w:pStyle w:val="Heading2"/>
        <w:spacing w:before="260" w:after="120"/>
      </w:pPr>
      <w:bookmarkStart w:id="86" w:name="_Toc236781143"/>
      <w:bookmarkStart w:id="87" w:name="_Toc236781252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12.1  Risk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Register &amp; Mitigations</w:t>
      </w:r>
      <w:bookmarkEnd w:id="86"/>
      <w:bookmarkEnd w:id="8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600"/>
        <w:gridCol w:w="4000"/>
      </w:tblGrid>
      <w:tr w:rsidR="000F3A6D" w:rsidRPr="00C16C8C" w14:paraId="63B560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E7487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w="16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926D3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40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346F0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0F3A6D" w:rsidRPr="00C16C8C" w14:paraId="202251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A6726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Regulatory — fiscal policy on sector (VAT/duty)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3ED48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Critical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299C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Model fiscal sensitivity explicitly; engage government/NBR proactively; quantify a specific downside scenario in prospectus risk factors</w:t>
            </w:r>
          </w:p>
        </w:tc>
      </w:tr>
      <w:tr w:rsidR="000F3A6D" w:rsidRPr="00C16C8C" w14:paraId="097B9A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DD70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Financial disclosure / sub-segment reporting gap</w:t>
            </w:r>
          </w:p>
        </w:tc>
        <w:tc>
          <w:tcPr>
            <w:tcW w:w="1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E915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4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B7F9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VEON now discloses top-line segment financials; sequence carve-out audit of net debt, working capital and tax detail as the remaining priority workstream ahead of BSEC pre-filing</w:t>
            </w:r>
          </w:p>
        </w:tc>
      </w:tr>
      <w:tr w:rsidR="000F3A6D" w:rsidRPr="00C16C8C" w14:paraId="3A15A3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A736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Regulatory — SMP enforcement asymmetry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9251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F7B9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Do not underwrite valuation on assumed near-term regulatory rebalancing; build growth case on differentiation, not enforcement-driven share gain</w:t>
            </w:r>
          </w:p>
        </w:tc>
      </w:tr>
      <w:tr w:rsidR="000F3A6D" w:rsidRPr="00C16C8C" w14:paraId="095E19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DB06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ARPU pressure / subscriber saturation</w:t>
            </w:r>
          </w:p>
        </w:tc>
        <w:tc>
          <w:tcPr>
            <w:tcW w:w="1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5574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4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316CA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Reframe equity story around ARPU/data monetization; prioritize Banglalink-specific ARPU data request</w:t>
            </w:r>
          </w:p>
        </w:tc>
      </w:tr>
      <w:tr w:rsidR="000F3A6D" w:rsidRPr="00C16C8C" w14:paraId="15463D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28B32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Competition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2F68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93C9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Differentiate on PSP/fintech and digital content rather than compete on price</w:t>
            </w:r>
          </w:p>
        </w:tc>
      </w:tr>
      <w:tr w:rsidR="000F3A6D" w:rsidRPr="00C16C8C" w14:paraId="025FD8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71BF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lastRenderedPageBreak/>
              <w:t>Execution — turnaround durability &amp; timing</w:t>
            </w:r>
          </w:p>
        </w:tc>
        <w:tc>
          <w:tcPr>
            <w:tcW w:w="1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96BD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High</w:t>
            </w:r>
          </w:p>
        </w:tc>
        <w:tc>
          <w:tcPr>
            <w:tcW w:w="4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BC48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Explicit go/no-go checkpoint tied to two consecutive confirmed quarters before committing to filing timeline</w:t>
            </w:r>
          </w:p>
        </w:tc>
      </w:tr>
      <w:tr w:rsidR="000F3A6D" w:rsidRPr="00C16C8C" w14:paraId="3C4F45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C801E" w14:textId="77777777" w:rsidR="000F3A6D" w:rsidRPr="00C16C8C" w:rsidRDefault="00A00CCA">
            <w:pPr>
              <w:spacing w:before="40" w:after="40"/>
            </w:pPr>
            <w:proofErr w:type="spellStart"/>
            <w:r w:rsidRPr="00C16C8C">
              <w:rPr>
                <w:color w:val="222222"/>
                <w:sz w:val="18"/>
                <w:szCs w:val="18"/>
              </w:rPr>
              <w:t>CapEx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 xml:space="preserve"> — 5G/700MHz uncertainty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BBCF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Medium-High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C435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Treat 5G capex as post-IPO optionality, not a near-term use-of-proceeds commitment</w:t>
            </w:r>
          </w:p>
        </w:tc>
      </w:tr>
      <w:tr w:rsidR="000F3A6D" w:rsidRPr="00C16C8C" w14:paraId="179585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BE08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Political</w:t>
            </w:r>
          </w:p>
        </w:tc>
        <w:tc>
          <w:tcPr>
            <w:tcW w:w="1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05C59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Medium-High</w:t>
            </w:r>
          </w:p>
        </w:tc>
        <w:tc>
          <w:tcPr>
            <w:tcW w:w="4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3B7F9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Maintain multi-stakeholder government engagement; build political-risk scenarios into disclosure</w:t>
            </w:r>
          </w:p>
        </w:tc>
      </w:tr>
      <w:tr w:rsidR="000F3A6D" w:rsidRPr="00C16C8C" w14:paraId="26A07E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BDC99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Foreign exchange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AB778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D40E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Confirm repatriation/dividend mechanics with Bangladesh Bank; use consistent FX conventions</w:t>
            </w:r>
          </w:p>
        </w:tc>
      </w:tr>
      <w:tr w:rsidR="000F3A6D" w:rsidRPr="00C16C8C" w14:paraId="39A5B6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C07A8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Macroeconomic</w:t>
            </w:r>
          </w:p>
        </w:tc>
        <w:tc>
          <w:tcPr>
            <w:tcW w:w="1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EABC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4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17D0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Stress-test growth thesis against a higher-for-longer inflation/rate scenario</w:t>
            </w:r>
          </w:p>
        </w:tc>
      </w:tr>
      <w:tr w:rsidR="000F3A6D" w:rsidRPr="00C16C8C" w14:paraId="68316F5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41D0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Ownership / sanctions-adjacent disclosure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984A2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2097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 xml:space="preserve">Engage external counsel/compliance early to scope 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LetterOne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>/VEON disclosure well ahead of filing</w:t>
            </w:r>
          </w:p>
        </w:tc>
      </w:tr>
      <w:tr w:rsidR="000F3A6D" w:rsidRPr="00C16C8C" w14:paraId="2ADDE4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A6D3F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Technology (vendor/partner dependency)</w:t>
            </w:r>
          </w:p>
        </w:tc>
        <w:tc>
          <w:tcPr>
            <w:tcW w:w="1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DECA5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40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C38D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Scope third-party dependency in prospectus; avoid overstating 5G/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Starlink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 xml:space="preserve"> D2C readiness</w:t>
            </w:r>
          </w:p>
        </w:tc>
      </w:tr>
      <w:tr w:rsidR="000F3A6D" w:rsidRPr="00C16C8C" w14:paraId="18FCB7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3465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Cybersecurity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F2C76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Medium (rising)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97A1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Request formal cybersecurity/data-governance disclosure and payment-readiness audit before PSP scale-up</w:t>
            </w:r>
          </w:p>
        </w:tc>
      </w:tr>
    </w:tbl>
    <w:p w14:paraId="3223A384" w14:textId="77777777" w:rsidR="000F3A6D" w:rsidRPr="00C16C8C" w:rsidRDefault="00A00CCA">
      <w:r w:rsidRPr="00C16C8C">
        <w:br w:type="page"/>
      </w:r>
    </w:p>
    <w:p w14:paraId="1C44BE58" w14:textId="77777777" w:rsidR="000F3A6D" w:rsidRPr="00C16C8C" w:rsidRDefault="00A00CCA">
      <w:pPr>
        <w:pStyle w:val="Heading1"/>
        <w:pBdr>
          <w:bottom w:val="single" w:sz="12" w:space="4" w:color="C75B12"/>
        </w:pBdr>
        <w:spacing w:before="360" w:after="160"/>
      </w:pPr>
      <w:bookmarkStart w:id="88" w:name="_Toc236781144"/>
      <w:bookmarkStart w:id="89" w:name="_Toc236781253"/>
      <w:r w:rsidRPr="00C16C8C">
        <w:rPr>
          <w:rFonts w:eastAsia="Georgia"/>
          <w:b/>
          <w:bCs/>
          <w:color w:val="0B1622"/>
          <w:sz w:val="26"/>
          <w:szCs w:val="26"/>
        </w:rPr>
        <w:lastRenderedPageBreak/>
        <w:t>13.  CONCLUDING RECOMMENDATION</w:t>
      </w:r>
      <w:bookmarkEnd w:id="88"/>
      <w:bookmarkEnd w:id="89"/>
    </w:p>
    <w:p w14:paraId="14470313" w14:textId="77777777" w:rsidR="000F3A6D" w:rsidRPr="00C16C8C" w:rsidRDefault="00A00CCA">
      <w:pPr>
        <w:pStyle w:val="Heading2"/>
        <w:spacing w:before="260" w:after="120"/>
      </w:pPr>
      <w:bookmarkStart w:id="90" w:name="_Toc236781145"/>
      <w:bookmarkStart w:id="91" w:name="_Toc236781254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13.1  The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Recommendation</w:t>
      </w:r>
      <w:bookmarkEnd w:id="90"/>
      <w:bookmarkEnd w:id="91"/>
    </w:p>
    <w:p w14:paraId="034D9FDC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Yes — we recommend the Board proceed with a Dhaka Stock Exchange listing, on a conditional and phased basis. This is a proceed-to-prepare mandate, not a proceed-to-price mandate. The Board should authorize the preparatory workstream now, while reserving th</w:t>
      </w:r>
      <w:r w:rsidRPr="00C16C8C">
        <w:rPr>
          <w:color w:val="222222"/>
        </w:rPr>
        <w:t>e actual pricing and filing decision for a defined future checkpoint.</w:t>
      </w:r>
    </w:p>
    <w:p w14:paraId="53FA77FD" w14:textId="77777777" w:rsidR="000F3A6D" w:rsidRPr="00C16C8C" w:rsidRDefault="00A00CCA">
      <w:pPr>
        <w:pStyle w:val="Heading2"/>
        <w:spacing w:before="260" w:after="120"/>
      </w:pPr>
      <w:bookmarkStart w:id="92" w:name="_Toc236781146"/>
      <w:bookmarkStart w:id="93" w:name="_Toc236781255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13.2  Conditions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Precedent to Filing</w:t>
      </w:r>
      <w:bookmarkEnd w:id="92"/>
      <w:bookmarkEnd w:id="93"/>
    </w:p>
    <w:p w14:paraId="4ADA002D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A second confirmed year of segment financial results (FY2026) showing the FY2025 turnaround is structural rather than a single strong year — FY2025 i</w:t>
      </w:r>
      <w:r w:rsidRPr="00C16C8C">
        <w:rPr>
          <w:color w:val="222222"/>
        </w:rPr>
        <w:t>tself is now confirmed via VEON's Integrated Annual Report (EBITDA +32.5% YoY, margin to 49.2%), which satisfies the first half of this condition; one further confirmed year remains the outstanding requirement.</w:t>
      </w:r>
    </w:p>
    <w:p w14:paraId="284591F8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BSEC pre-filing consultation concluded on pub</w:t>
      </w:r>
      <w:r w:rsidRPr="00C16C8C">
        <w:rPr>
          <w:color w:val="222222"/>
        </w:rPr>
        <w:t>lic-float requirements, pricing mechanism, and sector-specific conditions.</w:t>
      </w:r>
    </w:p>
    <w:p w14:paraId="0FFDA5D9" w14:textId="77777777" w:rsidR="000F3A6D" w:rsidRPr="00C16C8C" w:rsidRDefault="00A00CCA">
      <w:pPr>
        <w:pStyle w:val="Heading2"/>
        <w:spacing w:before="260" w:after="120"/>
      </w:pPr>
      <w:bookmarkStart w:id="94" w:name="_Toc236781147"/>
      <w:bookmarkStart w:id="95" w:name="_Toc236781256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13.3  Suggested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Timing</w:t>
      </w:r>
      <w:bookmarkEnd w:id="94"/>
      <w:bookmarkEnd w:id="95"/>
    </w:p>
    <w:p w14:paraId="10D025A4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Now – Month 6: preparatory workstream authorization and data-room construction.</w:t>
      </w:r>
    </w:p>
    <w:p w14:paraId="1C40B3B6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Month 6 – Month 12: BSEC pre-filing consultation; carve-out audit substantiall</w:t>
      </w:r>
      <w:r w:rsidRPr="00C16C8C">
        <w:rPr>
          <w:color w:val="222222"/>
        </w:rPr>
        <w:t>y complete; FY2025 full-year and at least one FY2026 quarter available.</w:t>
      </w:r>
    </w:p>
    <w:p w14:paraId="793B0A41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Month 12 – Month 18: go/no-go decision point, conditional on evidence, not calendar.</w:t>
      </w:r>
    </w:p>
    <w:p w14:paraId="69056835" w14:textId="77777777" w:rsidR="000F3A6D" w:rsidRPr="00C16C8C" w:rsidRDefault="00A00CCA">
      <w:pPr>
        <w:pStyle w:val="Heading2"/>
        <w:spacing w:before="260" w:after="120"/>
      </w:pPr>
      <w:bookmarkStart w:id="96" w:name="_Toc236781148"/>
      <w:bookmarkStart w:id="97" w:name="_Toc236781257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13.4  Preparatory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Actions</w:t>
      </w:r>
      <w:bookmarkEnd w:id="96"/>
      <w:bookmarkEnd w:id="97"/>
    </w:p>
    <w:p w14:paraId="0F7B9831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Commission a carve-out audit focused on the remaining disclosure gap — ne</w:t>
      </w:r>
      <w:r w:rsidRPr="00C16C8C">
        <w:rPr>
          <w:color w:val="222222"/>
        </w:rPr>
        <w:t>t debt, working capital, and tax position — since VEON's FY2025 Integrated Annual Report now covers top-line segment revenue, EBITDA, margin and digital revenue; still the highest-priority action item, but narrower in scope than initially assessed.</w:t>
      </w:r>
    </w:p>
    <w:p w14:paraId="138A4899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Formally engage BSEC on float sizing, pricing mechanism, and sector conditions.</w:t>
      </w:r>
    </w:p>
    <w:p w14:paraId="3B0FE349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Instruct external legal counsel to scope VEON ownership-chain and shareholder-disclosure requirements.</w:t>
      </w:r>
    </w:p>
    <w:p w14:paraId="6B8F28DB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Confirm capital repatriation/dividend-remittance mechanics with Banglades</w:t>
      </w:r>
      <w:r w:rsidRPr="00C16C8C">
        <w:rPr>
          <w:color w:val="222222"/>
        </w:rPr>
        <w:t>h Bank.</w:t>
      </w:r>
    </w:p>
    <w:p w14:paraId="6E1F4261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Request from management: standalone balance sheet detail, validated business plan, Banglalink-specific ARPU/digital revenue disclosure.</w:t>
      </w:r>
    </w:p>
    <w:p w14:paraId="404287F0" w14:textId="77777777" w:rsidR="000F3A6D" w:rsidRPr="00C16C8C" w:rsidRDefault="00A00CCA">
      <w:pPr>
        <w:pStyle w:val="Heading2"/>
        <w:spacing w:before="260" w:after="120"/>
      </w:pPr>
      <w:bookmarkStart w:id="98" w:name="_Toc236781149"/>
      <w:bookmarkStart w:id="99" w:name="_Toc236781258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13.5  Governance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Improvements</w:t>
      </w:r>
      <w:bookmarkEnd w:id="98"/>
      <w:bookmarkEnd w:id="99"/>
    </w:p>
    <w:p w14:paraId="5365D00A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Establish an independent board component ahead of listing, not as a post-listing f</w:t>
      </w:r>
      <w:r w:rsidRPr="00C16C8C">
        <w:rPr>
          <w:color w:val="222222"/>
        </w:rPr>
        <w:t>ormality.</w:t>
      </w:r>
    </w:p>
    <w:p w14:paraId="03EADEE9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Formalize audit committee and internal-controls infrastructure alongside the carve-out audit.</w:t>
      </w:r>
    </w:p>
    <w:p w14:paraId="64764ADD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Commission a cybersecurity/data-governance review specific to the payment-services business.</w:t>
      </w:r>
    </w:p>
    <w:p w14:paraId="2922DF4C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Consider formalizing an employee equity participation frame</w:t>
      </w:r>
      <w:r w:rsidRPr="00C16C8C">
        <w:rPr>
          <w:color w:val="222222"/>
        </w:rPr>
        <w:t>work, pending management confirmation.</w:t>
      </w:r>
    </w:p>
    <w:p w14:paraId="39DD2660" w14:textId="77777777" w:rsidR="000F3A6D" w:rsidRPr="00C16C8C" w:rsidRDefault="00A00CCA">
      <w:pPr>
        <w:pStyle w:val="Heading2"/>
        <w:spacing w:before="260" w:after="120"/>
      </w:pPr>
      <w:bookmarkStart w:id="100" w:name="_Toc236781150"/>
      <w:bookmarkStart w:id="101" w:name="_Toc236781259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13.6  Capital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Allocation</w:t>
      </w:r>
      <w:bookmarkEnd w:id="100"/>
      <w:bookmarkEnd w:id="101"/>
    </w:p>
    <w:p w14:paraId="7415FA74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Network capacity/quality densification, with 5G/700MHz treated as multi-year optionality.</w:t>
      </w:r>
    </w:p>
    <w:p w14:paraId="0A361C38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Scale-up of the payment-services-provider business and fintech infrastructure.</w:t>
      </w:r>
    </w:p>
    <w:p w14:paraId="58E54F5B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Intercompany deleveraging with the VEON group, to the extent confirmed material.</w:t>
      </w:r>
    </w:p>
    <w:p w14:paraId="70224D0B" w14:textId="77777777" w:rsidR="000F3A6D" w:rsidRPr="00C16C8C" w:rsidRDefault="00A00CCA">
      <w:pPr>
        <w:pStyle w:val="Heading2"/>
        <w:spacing w:before="260" w:after="120"/>
      </w:pPr>
      <w:bookmarkStart w:id="102" w:name="_Toc236781151"/>
      <w:bookmarkStart w:id="103" w:name="_Toc236781260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13.7  Investor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Messaging</w:t>
      </w:r>
      <w:bookmarkEnd w:id="102"/>
      <w:bookmarkEnd w:id="103"/>
    </w:p>
    <w:p w14:paraId="6EF289EB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The equity story should lead with data and digital monetization, not su</w:t>
      </w:r>
      <w:r w:rsidRPr="00C16C8C">
        <w:rPr>
          <w:color w:val="222222"/>
        </w:rPr>
        <w:t xml:space="preserve">bscriber growth, and can now cite disclosed FY2025 evidence rather than an unproven narrative: EBITDA margin expansion to 49.2%, ~8x YoY digital revenue growth, and 4G </w:t>
      </w:r>
      <w:r w:rsidRPr="00C16C8C">
        <w:rPr>
          <w:color w:val="222222"/>
        </w:rPr>
        <w:lastRenderedPageBreak/>
        <w:t xml:space="preserve">penetration to 53.3%. Priority order: fintech optionality (PSP </w:t>
      </w:r>
      <w:proofErr w:type="spellStart"/>
      <w:r w:rsidRPr="00C16C8C">
        <w:rPr>
          <w:color w:val="222222"/>
        </w:rPr>
        <w:t>licence</w:t>
      </w:r>
      <w:proofErr w:type="spellEnd"/>
      <w:r w:rsidRPr="00C16C8C">
        <w:rPr>
          <w:color w:val="222222"/>
        </w:rPr>
        <w:t>, now operational)</w:t>
      </w:r>
      <w:r w:rsidRPr="00C16C8C">
        <w:rPr>
          <w:color w:val="222222"/>
        </w:rPr>
        <w:t>; digital content/services ecosystem (</w:t>
      </w:r>
      <w:proofErr w:type="spellStart"/>
      <w:r w:rsidRPr="00C16C8C">
        <w:rPr>
          <w:color w:val="222222"/>
        </w:rPr>
        <w:t>MyBL</w:t>
      </w:r>
      <w:proofErr w:type="spellEnd"/>
      <w:r w:rsidRPr="00C16C8C">
        <w:rPr>
          <w:color w:val="222222"/>
        </w:rPr>
        <w:t>, Toffee, RYZE, with disclosed usage/MAU trends); demonstrated operational turnaround (FY2025 EBITDA and margin results); sponsor conviction (VEON's direct capital commitment). Messaging should proactively address,</w:t>
      </w:r>
      <w:r w:rsidRPr="00C16C8C">
        <w:rPr>
          <w:color w:val="222222"/>
        </w:rPr>
        <w:t xml:space="preserve"> not downplay, the two highest-priority risks: fiscal policy volatility and the remaining sub-segment disclosure gap (net debt, working capital, tax).</w:t>
      </w:r>
    </w:p>
    <w:p w14:paraId="69A1DE00" w14:textId="77777777" w:rsidR="000F3A6D" w:rsidRPr="00C16C8C" w:rsidRDefault="00A00CCA">
      <w:pPr>
        <w:pStyle w:val="Heading2"/>
        <w:spacing w:before="260" w:after="120"/>
      </w:pPr>
      <w:bookmarkStart w:id="104" w:name="_Toc236781152"/>
      <w:bookmarkStart w:id="105" w:name="_Toc236781261"/>
      <w:proofErr w:type="gramStart"/>
      <w:r w:rsidRPr="00C16C8C">
        <w:rPr>
          <w:rFonts w:eastAsia="Georgia"/>
          <w:b/>
          <w:bCs/>
          <w:color w:val="13263A"/>
          <w:sz w:val="22"/>
          <w:szCs w:val="22"/>
        </w:rPr>
        <w:t>13.8  Final</w:t>
      </w:r>
      <w:proofErr w:type="gramEnd"/>
      <w:r w:rsidRPr="00C16C8C">
        <w:rPr>
          <w:rFonts w:eastAsia="Georgia"/>
          <w:b/>
          <w:bCs/>
          <w:color w:val="13263A"/>
          <w:sz w:val="22"/>
          <w:szCs w:val="22"/>
        </w:rPr>
        <w:t xml:space="preserve"> Word to the Board</w:t>
      </w:r>
      <w:bookmarkEnd w:id="104"/>
      <w:bookmarkEnd w:id="105"/>
    </w:p>
    <w:p w14:paraId="01CE99EB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 xml:space="preserve">Banglalink has a genuine, defensible path to a successful DSE listing. The </w:t>
      </w:r>
      <w:r w:rsidRPr="00C16C8C">
        <w:rPr>
          <w:color w:val="222222"/>
        </w:rPr>
        <w:t xml:space="preserve">strategic logic is sound, the regulatory relationship is constructive, and the differentiating assets — particularly the payment-services </w:t>
      </w:r>
      <w:proofErr w:type="spellStart"/>
      <w:r w:rsidRPr="00C16C8C">
        <w:rPr>
          <w:color w:val="222222"/>
        </w:rPr>
        <w:t>licence</w:t>
      </w:r>
      <w:proofErr w:type="spellEnd"/>
      <w:r w:rsidRPr="00C16C8C">
        <w:rPr>
          <w:color w:val="222222"/>
        </w:rPr>
        <w:t xml:space="preserve"> — are real. What stands between the Company and a successful transaction is not opportunity but preparedness. </w:t>
      </w:r>
      <w:r w:rsidRPr="00C16C8C">
        <w:rPr>
          <w:color w:val="222222"/>
        </w:rPr>
        <w:t>Recommendation: proceed to prepare, with pricing deferred to a defined, evidence-based checkpoint.</w:t>
      </w:r>
    </w:p>
    <w:p w14:paraId="6DF37FC5" w14:textId="77777777" w:rsidR="000F3A6D" w:rsidRPr="00C16C8C" w:rsidRDefault="00A00CCA">
      <w:r w:rsidRPr="00C16C8C">
        <w:br w:type="page"/>
      </w:r>
    </w:p>
    <w:p w14:paraId="317999A3" w14:textId="77777777" w:rsidR="000F3A6D" w:rsidRPr="00C16C8C" w:rsidRDefault="00A00CCA">
      <w:pPr>
        <w:pStyle w:val="Heading1"/>
        <w:pBdr>
          <w:bottom w:val="single" w:sz="12" w:space="4" w:color="C75B12"/>
        </w:pBdr>
        <w:spacing w:before="360" w:after="160"/>
      </w:pPr>
      <w:bookmarkStart w:id="106" w:name="_Toc236781153"/>
      <w:bookmarkStart w:id="107" w:name="_Toc236781262"/>
      <w:r w:rsidRPr="00C16C8C">
        <w:rPr>
          <w:rFonts w:eastAsia="Georgia"/>
          <w:b/>
          <w:bCs/>
          <w:color w:val="0B1622"/>
          <w:sz w:val="26"/>
          <w:szCs w:val="26"/>
        </w:rPr>
        <w:lastRenderedPageBreak/>
        <w:t>APPENDIX — REPORT STATUS &amp; SOURCE SUMMARY</w:t>
      </w:r>
      <w:bookmarkEnd w:id="106"/>
      <w:bookmarkEnd w:id="107"/>
    </w:p>
    <w:p w14:paraId="2107D05E" w14:textId="77777777" w:rsidR="000F3A6D" w:rsidRPr="00C16C8C" w:rsidRDefault="00A00CCA">
      <w:pPr>
        <w:pStyle w:val="Heading2"/>
        <w:spacing w:before="260" w:after="120"/>
      </w:pPr>
      <w:bookmarkStart w:id="108" w:name="_Toc236781154"/>
      <w:bookmarkStart w:id="109" w:name="_Toc236781263"/>
      <w:r w:rsidRPr="00C16C8C">
        <w:rPr>
          <w:rFonts w:eastAsia="Georgia"/>
          <w:b/>
          <w:bCs/>
          <w:color w:val="13263A"/>
          <w:sz w:val="22"/>
          <w:szCs w:val="22"/>
        </w:rPr>
        <w:t>Changelog — VEON Integrated Annual Report 2025 Cross-Check</w:t>
      </w:r>
      <w:bookmarkEnd w:id="108"/>
      <w:bookmarkEnd w:id="109"/>
    </w:p>
    <w:p w14:paraId="43D16AEF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>This version incorporates corrections made after cross</w:t>
      </w:r>
      <w:r w:rsidRPr="00C16C8C">
        <w:rPr>
          <w:color w:val="222222"/>
        </w:rPr>
        <w:t>-checking prior drafts against VEON's Integrated Annual Report 2025 (Bangladesh country-performance section, pp.97-100). Material changes:</w:t>
      </w:r>
    </w:p>
    <w:p w14:paraId="540022EC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4G users corrected from a press-sourced ~21.5mn/2024 estimate to VEON-reported 18.0mn (2024) / 18.4mn (2025), with pe</w:t>
      </w:r>
      <w:r w:rsidRPr="00C16C8C">
        <w:rPr>
          <w:color w:val="222222"/>
        </w:rPr>
        <w:t>netration data added (50.2% / 53.3%).</w:t>
      </w:r>
    </w:p>
    <w:p w14:paraId="2448983E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Segment financials updated from illustrative/assumed figures to VEON-disclosed actuals: FY2025 revenue BDT 55.9bn, EBITDA BDT 27.5bn (+32.5% YoY), EBITDA margin 49.2% (2024: 34.7%).</w:t>
      </w:r>
    </w:p>
    <w:p w14:paraId="10055A91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Digital revenue added as a disclosed</w:t>
      </w:r>
      <w:r w:rsidRPr="00C16C8C">
        <w:rPr>
          <w:color w:val="222222"/>
        </w:rPr>
        <w:t xml:space="preserve"> metric: BDT 3.0bn FY2025 vs. BDT 0.34bn FY2024 (~8x YoY), driven by Toffee and advertising monetization.</w:t>
      </w:r>
    </w:p>
    <w:p w14:paraId="38703090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Valuation football field (Section 9) rebuilt on actual FY2025 EBITDA rather than an assumed 35-42% margin range; EV range moved from an illustrative U</w:t>
      </w:r>
      <w:r w:rsidRPr="00C16C8C">
        <w:rPr>
          <w:color w:val="222222"/>
        </w:rPr>
        <w:t>SD 508-914mn to USD 680-1,020mn.</w:t>
      </w:r>
    </w:p>
    <w:p w14:paraId="4303CD85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“No standalone financials” framing narrowed throughout: VEON now discloses top-line segment financials; the genuine remaining gap is net debt, working capital, and tax detail, not revenue/EBITDA.</w:t>
      </w:r>
    </w:p>
    <w:p w14:paraId="03F02C8E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Total customer base discrepancy flagged: VEON reports 34.4mn</w:t>
      </w:r>
      <w:r w:rsidRPr="00C16C8C">
        <w:rPr>
          <w:color w:val="222222"/>
        </w:rPr>
        <w:t xml:space="preserve"> customers vs. a BTRC-sourced 38.05mn figure used elsewhere in this workstream; flagged for reconciliation with management rather than silently resolved.</w:t>
      </w:r>
    </w:p>
    <w:p w14:paraId="2FE9F0C5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 xml:space="preserve">CEO reference corrected/added: Johan Buse, effective April 6, 2025, succeeding Erik </w:t>
      </w:r>
      <w:proofErr w:type="spellStart"/>
      <w:r w:rsidRPr="00C16C8C">
        <w:rPr>
          <w:color w:val="222222"/>
        </w:rPr>
        <w:t>Aas</w:t>
      </w:r>
      <w:proofErr w:type="spellEnd"/>
      <w:r w:rsidRPr="00C16C8C">
        <w:rPr>
          <w:color w:val="222222"/>
        </w:rPr>
        <w:t>.</w:t>
      </w:r>
    </w:p>
    <w:p w14:paraId="3CC67D59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 xml:space="preserve">Added </w:t>
      </w:r>
      <w:proofErr w:type="spellStart"/>
      <w:r w:rsidRPr="00C16C8C">
        <w:rPr>
          <w:color w:val="222222"/>
        </w:rPr>
        <w:t>Kyivsta</w:t>
      </w:r>
      <w:r w:rsidRPr="00C16C8C">
        <w:rPr>
          <w:color w:val="222222"/>
        </w:rPr>
        <w:t>r</w:t>
      </w:r>
      <w:proofErr w:type="spellEnd"/>
      <w:r w:rsidRPr="00C16C8C">
        <w:rPr>
          <w:color w:val="222222"/>
        </w:rPr>
        <w:t xml:space="preserve"> Group Ltd.'s August 2025 Nasdaq listing (via Cohen Circle business combination) as a more recent and relevant VEON-subsidiary listing precedent than the 2009/2020 DSE deals.</w:t>
      </w:r>
    </w:p>
    <w:p w14:paraId="25C3999F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Added a caveat that VEON's own FY2025 Bangladesh outlook and stated key prioriti</w:t>
      </w:r>
      <w:r w:rsidRPr="00C16C8C">
        <w:rPr>
          <w:color w:val="222222"/>
        </w:rPr>
        <w:t>es do not currently reference a DSE listing — the IPO thesis in this memorandum remains analyst-initiated and should be confirmed directly with VEON corporate development.</w:t>
      </w:r>
    </w:p>
    <w:p w14:paraId="5BE93DE1" w14:textId="77777777" w:rsidR="000F3A6D" w:rsidRPr="00C16C8C" w:rsidRDefault="00A00CCA">
      <w:pPr>
        <w:pStyle w:val="ListParagraph"/>
        <w:numPr>
          <w:ilvl w:val="0"/>
          <w:numId w:val="2"/>
        </w:numPr>
        <w:spacing w:after="90" w:line="264" w:lineRule="auto"/>
      </w:pPr>
      <w:r w:rsidRPr="00C16C8C">
        <w:rPr>
          <w:color w:val="222222"/>
        </w:rPr>
        <w:t>Softened regulatory-risk framing to reflect a disclosed positive development: consol</w:t>
      </w:r>
      <w:r w:rsidRPr="00C16C8C">
        <w:rPr>
          <w:color w:val="222222"/>
        </w:rPr>
        <w:t>idation of licensing categories from 23 to 6 and a reduction in minimum tax obligations in FY2025.</w:t>
      </w:r>
    </w:p>
    <w:p w14:paraId="1DF7C7C4" w14:textId="77777777" w:rsidR="000F3A6D" w:rsidRPr="00C16C8C" w:rsidRDefault="00A00CCA">
      <w:pPr>
        <w:pStyle w:val="Heading2"/>
        <w:spacing w:before="260" w:after="120"/>
      </w:pPr>
      <w:bookmarkStart w:id="110" w:name="_Toc236781155"/>
      <w:bookmarkStart w:id="111" w:name="_Toc236781264"/>
      <w:r w:rsidRPr="00C16C8C">
        <w:rPr>
          <w:rFonts w:eastAsia="Georgia"/>
          <w:b/>
          <w:bCs/>
          <w:color w:val="13263A"/>
          <w:sz w:val="22"/>
          <w:szCs w:val="22"/>
        </w:rPr>
        <w:t>Sections Drafted to Date</w:t>
      </w:r>
      <w:bookmarkEnd w:id="110"/>
      <w:bookmarkEnd w:id="111"/>
    </w:p>
    <w:p w14:paraId="45B77AAD" w14:textId="77777777" w:rsidR="000F3A6D" w:rsidRPr="00C16C8C" w:rsidRDefault="00A00CCA">
      <w:pPr>
        <w:spacing w:after="160" w:line="276" w:lineRule="auto"/>
      </w:pPr>
      <w:r w:rsidRPr="00C16C8C">
        <w:rPr>
          <w:color w:val="222222"/>
        </w:rPr>
        <w:t xml:space="preserve">This compiled memorandum reflects Sections 1, 4, 5, 7, 9, 12 and 13 as drafted through this workstream. The following sections from </w:t>
      </w:r>
      <w:r w:rsidRPr="00C16C8C">
        <w:rPr>
          <w:color w:val="222222"/>
        </w:rPr>
        <w:t>the original report blueprint remain outstanding and should be requested and drafted before this memorandum is finalized for IC or Board circulation: Section 2 (Mandate, Scope &amp; Methodology), Section 3 (Company Overview detail), Section 6 (Financial Perfor</w:t>
      </w:r>
      <w:r w:rsidRPr="00C16C8C">
        <w:rPr>
          <w:color w:val="222222"/>
        </w:rPr>
        <w:t xml:space="preserve">mance &amp; KPI detail), Section 8 (Strategic Case Against / Alternatives, standalone detail), Section 10 (IPO Structuring Options &amp; Precedent Transactions detail), Section 11 (Regulatory, Ownership &amp; Legal detail), Section 14 (Implementation Roadmap detail), </w:t>
      </w:r>
      <w:r w:rsidRPr="00C16C8C">
        <w:rPr>
          <w:color w:val="222222"/>
        </w:rPr>
        <w:t>Section 15 (Assumptions &amp; Data Requests, consolidated), and Section 16 (full Appendices).</w:t>
      </w:r>
    </w:p>
    <w:p w14:paraId="2AEA1BD6" w14:textId="77777777" w:rsidR="000F3A6D" w:rsidRPr="00C16C8C" w:rsidRDefault="00A00CCA">
      <w:pPr>
        <w:pStyle w:val="Heading2"/>
        <w:spacing w:before="260" w:after="120"/>
      </w:pPr>
      <w:bookmarkStart w:id="112" w:name="_Toc236781156"/>
      <w:bookmarkStart w:id="113" w:name="_Toc236781265"/>
      <w:r w:rsidRPr="00C16C8C">
        <w:rPr>
          <w:rFonts w:eastAsia="Georgia"/>
          <w:b/>
          <w:bCs/>
          <w:color w:val="13263A"/>
          <w:sz w:val="22"/>
          <w:szCs w:val="22"/>
        </w:rPr>
        <w:t>Key Sources Referenced</w:t>
      </w:r>
      <w:bookmarkEnd w:id="112"/>
      <w:bookmarkEnd w:id="113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0F3A6D" w:rsidRPr="00C16C8C" w14:paraId="339E5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AA42D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Data Point</w:t>
            </w:r>
          </w:p>
        </w:tc>
        <w:tc>
          <w:tcPr>
            <w:tcW w:w="4600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93E78" w14:textId="77777777" w:rsidR="000F3A6D" w:rsidRPr="00C16C8C" w:rsidRDefault="00A00CCA">
            <w:pPr>
              <w:spacing w:before="40" w:after="40"/>
            </w:pPr>
            <w:r w:rsidRPr="00C16C8C"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</w:tr>
      <w:tr w:rsidR="000F3A6D" w:rsidRPr="00C16C8C" w14:paraId="58E2481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77BC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Bangladesh mobile subscriber market share / counts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373E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 xml:space="preserve">BTRC via The Business Standard, 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Grokipedia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>, Xinhua</w:t>
            </w:r>
          </w:p>
        </w:tc>
      </w:tr>
      <w:tr w:rsidR="000F3A6D" w:rsidRPr="00C16C8C" w14:paraId="41C92EE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5B9FB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 xml:space="preserve">GP / Robi / Banglalink / 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Teletalk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 xml:space="preserve"> FY2024 revenue &amp; profit</w:t>
            </w:r>
          </w:p>
        </w:tc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CC188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Industry press (SMP regulatory commentary)</w:t>
            </w:r>
          </w:p>
        </w:tc>
      </w:tr>
      <w:tr w:rsidR="000F3A6D" w:rsidRPr="00C16C8C" w14:paraId="7F6D3CE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881F2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GP / Robi trading multiples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E05B1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 xml:space="preserve">stockanalysis.com, 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TradingView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StockNow</w:t>
            </w:r>
            <w:proofErr w:type="spellEnd"/>
          </w:p>
        </w:tc>
      </w:tr>
      <w:tr w:rsidR="000F3A6D" w:rsidRPr="00C16C8C" w14:paraId="582F610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64F7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GP / Robi IPO history and proceeds raised</w:t>
            </w:r>
          </w:p>
        </w:tc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2A70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The Financial Express; The Daily Star</w:t>
            </w:r>
          </w:p>
        </w:tc>
      </w:tr>
      <w:tr w:rsidR="000F3A6D" w:rsidRPr="00C16C8C" w14:paraId="6C05982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9681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Banglalink listing intent and BSEC engagement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9FB96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The Financial Express; The Daily Star; The Business Standard</w:t>
            </w:r>
          </w:p>
        </w:tc>
      </w:tr>
      <w:tr w:rsidR="000F3A6D" w:rsidRPr="00C16C8C" w14:paraId="7F1A966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B41A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lastRenderedPageBreak/>
              <w:t>VEON group quarterly financials</w:t>
            </w:r>
          </w:p>
        </w:tc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3492A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VEON Ltd. earnings releases (veon.com)</w:t>
            </w:r>
          </w:p>
        </w:tc>
      </w:tr>
      <w:tr w:rsidR="000F3A6D" w:rsidRPr="00C16C8C" w14:paraId="21CD90A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854C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VEON FY2024 Bangladesh revenue/EBITDA contribution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8C655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Edison Group equity research note</w:t>
            </w:r>
          </w:p>
        </w:tc>
      </w:tr>
      <w:tr w:rsidR="000F3A6D" w:rsidRPr="00C16C8C" w14:paraId="7B7B373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2641A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Banglalink digital assets (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MyBL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 xml:space="preserve">, Toffee, RYZE, PSP, 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Starlink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71DB3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VEON newsroom press releases (2025–2026)</w:t>
            </w:r>
          </w:p>
        </w:tc>
      </w:tr>
      <w:tr w:rsidR="000F3A6D" w:rsidRPr="00C16C8C" w14:paraId="0B025C9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214FE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VEON USD 250mn / USD 1bn Bangladesh FDI commitment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C303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VEON press rele</w:t>
            </w:r>
            <w:r w:rsidRPr="00C16C8C">
              <w:rPr>
                <w:color w:val="222222"/>
                <w:sz w:val="18"/>
                <w:szCs w:val="18"/>
              </w:rPr>
              <w:t>ase, June 30, 2026</w:t>
            </w:r>
          </w:p>
        </w:tc>
      </w:tr>
      <w:tr w:rsidR="000F3A6D" w:rsidRPr="00C16C8C" w14:paraId="626B2DB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6BF94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 xml:space="preserve">Banglalink ownership chain (Telecom Ventures, </w:t>
            </w:r>
            <w:proofErr w:type="spellStart"/>
            <w:r w:rsidRPr="00C16C8C">
              <w:rPr>
                <w:color w:val="222222"/>
                <w:sz w:val="18"/>
                <w:szCs w:val="18"/>
              </w:rPr>
              <w:t>LetterOne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08FD8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The Daily Star (2023); Wikipedia</w:t>
            </w:r>
          </w:p>
        </w:tc>
      </w:tr>
      <w:tr w:rsidR="000F3A6D" w:rsidRPr="00C16C8C" w14:paraId="4BC1D2A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5433C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Market size, ARPU/data trend, smartphone penetration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11D67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Mordor Intelligence; Bangladesh Bureau of Statistics</w:t>
            </w:r>
          </w:p>
        </w:tc>
      </w:tr>
      <w:tr w:rsidR="000F3A6D" w:rsidRPr="00C16C8C" w14:paraId="321D77E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A5F00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5G/700MHz spectrum status</w:t>
            </w:r>
          </w:p>
        </w:tc>
        <w:tc>
          <w:tcPr>
            <w:tcW w:w="4600" w:type="dxa"/>
            <w:shd w:val="clear" w:color="auto" w:fill="F5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B6E26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The Business Standard; Developing Telecoms; bdnews24</w:t>
            </w:r>
          </w:p>
        </w:tc>
      </w:tr>
      <w:tr w:rsidR="000F3A6D" w:rsidRPr="00C16C8C" w14:paraId="4847F17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DB96D" w14:textId="77777777" w:rsidR="000F3A6D" w:rsidRPr="00C16C8C" w:rsidRDefault="00A00CCA">
            <w:pPr>
              <w:spacing w:before="40" w:after="40"/>
            </w:pPr>
            <w:r w:rsidRPr="00C16C8C">
              <w:rPr>
                <w:color w:val="222222"/>
                <w:sz w:val="18"/>
                <w:szCs w:val="18"/>
              </w:rPr>
              <w:t>USD/BDT exchange rate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F62A3" w14:textId="77777777" w:rsidR="000F3A6D" w:rsidRPr="00C16C8C" w:rsidRDefault="00A00CCA">
            <w:pPr>
              <w:spacing w:before="40" w:after="40"/>
            </w:pPr>
            <w:proofErr w:type="spellStart"/>
            <w:r w:rsidRPr="00C16C8C">
              <w:rPr>
                <w:color w:val="222222"/>
                <w:sz w:val="18"/>
                <w:szCs w:val="18"/>
              </w:rPr>
              <w:t>TradingEconomics</w:t>
            </w:r>
            <w:proofErr w:type="spellEnd"/>
            <w:r w:rsidRPr="00C16C8C">
              <w:rPr>
                <w:color w:val="222222"/>
                <w:sz w:val="18"/>
                <w:szCs w:val="18"/>
              </w:rPr>
              <w:t>; exchange-rates.org (July 2026)</w:t>
            </w:r>
          </w:p>
        </w:tc>
      </w:tr>
    </w:tbl>
    <w:p w14:paraId="0B072B97" w14:textId="77777777" w:rsidR="000F3A6D" w:rsidRPr="00C16C8C" w:rsidRDefault="00A00CCA">
      <w:pPr>
        <w:spacing w:before="80" w:after="200"/>
      </w:pPr>
      <w:r w:rsidRPr="00C16C8C">
        <w:rPr>
          <w:i/>
          <w:iCs/>
          <w:color w:val="44576B"/>
          <w:sz w:val="17"/>
          <w:szCs w:val="17"/>
        </w:rPr>
        <w:t>This memorandum was prepared using publicly available information as of July 2026 and internal analytical assumptions clearly flagged in the text. It does not constitute investment advice, a fairness opinion, or an offer or solicitation of securities.</w:t>
      </w:r>
    </w:p>
    <w:sectPr w:rsidR="000F3A6D" w:rsidRPr="00C16C8C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33AE8" w14:textId="77777777" w:rsidR="00A00CCA" w:rsidRDefault="00A00CCA">
      <w:r>
        <w:separator/>
      </w:r>
    </w:p>
  </w:endnote>
  <w:endnote w:type="continuationSeparator" w:id="0">
    <w:p w14:paraId="7AF75B62" w14:textId="77777777" w:rsidR="00A00CCA" w:rsidRDefault="00A0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81797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F996A9" w14:textId="641C6C11" w:rsidR="008C3B18" w:rsidRDefault="008C3B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A23106" w14:textId="4A35548E" w:rsidR="000F3A6D" w:rsidRDefault="000F3A6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9F2EE" w14:textId="77777777" w:rsidR="00A00CCA" w:rsidRDefault="00A00CCA">
      <w:r>
        <w:separator/>
      </w:r>
    </w:p>
  </w:footnote>
  <w:footnote w:type="continuationSeparator" w:id="0">
    <w:p w14:paraId="6CC671C5" w14:textId="77777777" w:rsidR="00A00CCA" w:rsidRDefault="00A00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6D7EA" w14:textId="3E1CCAFD" w:rsidR="000F3A6D" w:rsidRDefault="000F3A6D">
    <w:pPr>
      <w:pBdr>
        <w:bottom w:val="single" w:sz="4" w:space="4" w:color="CCCCCC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74621"/>
    <w:multiLevelType w:val="hybridMultilevel"/>
    <w:tmpl w:val="565A5136"/>
    <w:lvl w:ilvl="0" w:tplc="FFFFFFFF">
      <w:start w:val="1"/>
      <w:numFmt w:val="bullet"/>
      <w:lvlText w:val="—"/>
      <w:lvlJc w:val="left"/>
      <w:pPr>
        <w:ind w:left="403" w:hanging="259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EA67336"/>
    <w:multiLevelType w:val="hybridMultilevel"/>
    <w:tmpl w:val="7EE821F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A6D"/>
    <w:rsid w:val="000F3A6D"/>
    <w:rsid w:val="001535EC"/>
    <w:rsid w:val="008C3B18"/>
    <w:rsid w:val="00A00CCA"/>
    <w:rsid w:val="00C1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2644"/>
  <w15:docId w15:val="{235B4D4F-5924-41E6-8146-9A74F8A7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16C8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C16C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6C8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C16C8C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8C3B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B18"/>
  </w:style>
  <w:style w:type="paragraph" w:styleId="Footer">
    <w:name w:val="footer"/>
    <w:basedOn w:val="Normal"/>
    <w:link w:val="FooterChar"/>
    <w:uiPriority w:val="99"/>
    <w:unhideWhenUsed/>
    <w:rsid w:val="008C3B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D77AB-848E-4673-BDC4-722225434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6421</Words>
  <Characters>36601</Characters>
  <Application>Microsoft Office Word</Application>
  <DocSecurity>0</DocSecurity>
  <Lines>305</Lines>
  <Paragraphs>85</Paragraphs>
  <ScaleCrop>false</ScaleCrop>
  <Company/>
  <LinksUpToDate>false</LinksUpToDate>
  <CharactersWithSpaces>42937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Banglalink IPO Advisory — Should Banglalink IPO on the DSE?</dc:title>
  <dc:creator>Telecom, Media &amp; Technology — Investment Banking Division</dc:creator>
  <cp:lastModifiedBy>USER</cp:lastModifiedBy>
  <cp:revision>4</cp:revision>
  <dcterms:created xsi:type="dcterms:W3CDTF">2026-07-29T18:53:00Z</dcterms:created>
  <dcterms:modified xsi:type="dcterms:W3CDTF">2026-08-04T18:14:00Z</dcterms:modified>
</cp:coreProperties>
</file>