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00"/>
      </w:pPr>
      <w:r>
        <w:t xml:space="preserve">Phased Implementation Roadmap</w:t>
      </w:r>
    </w:p>
    <w:p>
      <w:pPr>
        <w:pBdr>
          <w:left w:val="single" w:color="D85A30" w:sz="18" w:space="8"/>
        </w:pBdr>
        <w:spacing w:after="220" w:line="300"/>
        <w:ind w:left="200"/>
      </w:pPr>
      <w:r>
        <w:rPr>
          <w:b/>
          <w:bCs/>
          <w:i/>
          <w:iCs/>
          <w:color w:val="1B2A4A"/>
          <w:sz w:val="21"/>
          <w:szCs w:val="21"/>
        </w:rPr>
        <w:t xml:space="preserve">Governing thought: </w:t>
      </w:r>
      <w:r>
        <w:rPr>
          <w:i/>
          <w:iCs/>
          <w:color w:val="333333"/>
          <w:sz w:val="21"/>
          <w:szCs w:val="21"/>
        </w:rPr>
        <w:t xml:space="preserve">Each phase has a single governing question it must answer before the next begins: Phase 1 asks 'does the rail work and can we onboard merchants at all,' Phase 2 asks 'does it scale profitably,' Phase 3 asks 'does it compound into an ecosystem.' Moving to the next phase without a clean answer to the current one is the most common way roadmaps like this fail in execution, not in planning.</w:t>
      </w:r>
    </w:p>
    <w:p>
      <w:pPr>
        <w:spacing w:after="140" w:line="300"/>
      </w:pPr>
      <w:r>
        <w:rPr>
          <w:sz w:val="21"/>
          <w:szCs w:val="21"/>
        </w:rPr>
        <w:t xml:space="preserve">This roadmap operationalizes the Three Horizons framework (Section 4) into a phase structure aligned to board governance cadence — 6-month, 18-month, and 36-month review gates rather than continuous quarterly re-litigation of strategy.</w:t>
      </w:r>
    </w:p>
    <w:p>
      <w:pPr>
        <w:pStyle w:val="Heading2"/>
        <w:spacing w:after="130" w:before="260"/>
      </w:pPr>
      <w:r>
        <w:t xml:space="preserve">Phase 1 (0–6 months): Prove the Rail</w:t>
      </w:r>
    </w:p>
    <w:p>
      <w:pPr>
        <w:spacing w:after="140" w:line="300"/>
      </w:pPr>
      <w:r>
        <w:rPr>
          <w:sz w:val="21"/>
          <w:szCs w:val="21"/>
        </w:rPr>
        <w:t xml:space="preserve">Objective: establish that NEO PSP can onboard merchants, process transactions reliably, and operate within Bangladesh Bank's compliance framework — before committing capital to scale. This is a controlled launch, not a market-wide push.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00"/>
      </w:tblGrid>
      <w:tr>
        <w:trPr>
          <w:tblHeader/>
        </w:trPr>
        <w:tc>
          <w:tcPr>
            <w:tcW w:type="dxa" w:w="170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60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Objectives</w:t>
            </w:r>
          </w:p>
        </w:tc>
        <w:tc>
          <w:tcPr>
            <w:tcW w:type="dxa" w:w="76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Achieve commercial launch approval from Bangladesh Bank following NOC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Stand up core rail: transfers, bill pay, merchant QR acceptance via Mukto Pay/Huawei platform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Onboard first wave of merchants through Banglalink's existing enterprise relationships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Key initiatives</w:t>
            </w:r>
          </w:p>
        </w:tc>
        <w:tc>
          <w:tcPr>
            <w:tcW w:type="dxa" w:w="76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Complete Huawei platform integration and institutional-grade reliability testing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Settlement bank partnership agreements finalized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Bangla QR interoperability compliance certification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First-wave SME merchant onboarding (warm-lead channel only)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SIM-linked customer onboarding flow live in Banglalink app/USSD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6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Bangladesh Bank final commercial launch approval (beyond NOC)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Huawei platform delivery on committed timeline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Settlement bank agreements executed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Internal Banglalink enterprise sales team alignment on cross-sell mandate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Success metrics</w:t>
            </w:r>
          </w:p>
        </w:tc>
        <w:tc>
          <w:tcPr>
            <w:tcW w:type="dxa" w:w="76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Commercial launch achieved within phase window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First 150–300 active merchants onboarded (illustrative target, see Financial Model)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Settlement reliability ≥99% from day one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Zero critical compliance findings from Bangladesh Bank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Major risks</w:t>
            </w:r>
          </w:p>
        </w:tc>
        <w:tc>
          <w:tcPr>
            <w:tcW w:type="dxa" w:w="76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Regulatory approval delay beyond NOC — highest-probability, highest-impact risk this phase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Platform delivery slippage from Huawei integration complexity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Merchant onboarding slower than warm-lead assumption if Banglalink's B2B sales team isn't incentivized to prioritize it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Expected outcomes</w:t>
            </w:r>
          </w:p>
        </w:tc>
        <w:tc>
          <w:tcPr>
            <w:tcW w:type="dxa" w:w="76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 working, compliant, reliable core rail with a small but real transacting merchant and customer base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Proof points to justify Phase 2 capital commitment — not yet a scale business</w:t>
            </w:r>
          </w:p>
        </w:tc>
      </w:tr>
    </w:tbl>
    <w:p>
      <w:pPr>
        <w:pStyle w:val="Heading2"/>
        <w:spacing w:after="130" w:before="260"/>
      </w:pPr>
      <w:r>
        <w:t xml:space="preserve">Phase 2 (6–18 months): Scale the Network</w:t>
      </w:r>
    </w:p>
    <w:p>
      <w:pPr>
        <w:spacing w:after="140" w:line="300"/>
      </w:pPr>
      <w:r>
        <w:rPr>
          <w:sz w:val="21"/>
          <w:szCs w:val="21"/>
        </w:rPr>
        <w:t xml:space="preserve">Objective: convert the proven rail into a genuine merchant network and open the SME/enterprise disbursement line — the differentiated white-space opportunity identified in the Competitive Benchmarking. This phase absorbs the bulk of Horizon 1–2 capital intensity.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00"/>
      </w:tblGrid>
      <w:tr>
        <w:trPr>
          <w:tblHeader/>
        </w:trPr>
        <w:tc>
          <w:tcPr>
            <w:tcW w:type="dxa" w:w="170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60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Objectives</w:t>
            </w:r>
          </w:p>
        </w:tc>
        <w:tc>
          <w:tcPr>
            <w:tcW w:type="dxa" w:w="76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Scale merchant acquisition beyond the warm-lead channel into underserved regions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Launch B2B disbursement product line (payroll, vendor payments)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Establish telecom–payments bundled propositions and unified loyalty construct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Key initiatives</w:t>
            </w:r>
          </w:p>
        </w:tc>
        <w:tc>
          <w:tcPr>
            <w:tcW w:type="dxa" w:w="76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Agent-assisted merchant onboarding in underserved regions (Feni, Cumilla, Chattogram first; Panchagarh, Kurigram inclusion-focused expansion)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SME payroll/vendor disbursement product build and enterprise sales motion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Unified Banglalink–NEO PSP loyalty program launch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E-commerce/platform gateway partnership integrations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Merchant-side data personalization (settlement timing, fee-tier optimization)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6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Phase 1 reliability and compliance track record clean enough to support scale-up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Dedicated headcount build in merchant acquisition, risk/compliance, and product (per Operating Model, Section 8)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Banglalink core telecom product team coordination on bundled propositions — flagged as a cross-functional risk earlier in this engagement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Success metrics</w:t>
            </w:r>
          </w:p>
        </w:tc>
        <w:tc>
          <w:tcPr>
            <w:tcW w:type="dxa" w:w="76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Active merchant base scaling toward Year 2 target trajectory (see KPI Dashboard, Financial Model)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B2B disbursement revenue share reaching a meaningful proportion of total revenue (target: material double-digit share by end of phase)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Merchant retention rate sustained ≥95%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Cost per active merchant acquired trending down as warm-lead channel saturates and agent-assisted channel matures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Major risks</w:t>
            </w:r>
          </w:p>
        </w:tc>
        <w:tc>
          <w:tcPr>
            <w:tcW w:type="dxa" w:w="76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Incumbent response — bKash/Nagad extending defensively into merchant/gateway services during this window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Execution risk in agent-network build-out, a capability Banglalink has not previously operated at this intensity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Telecom–payments bundling stalls if core telecom product team isn't formally resourced into the roadmap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Expected outcomes</w:t>
            </w:r>
          </w:p>
        </w:tc>
        <w:tc>
          <w:tcPr>
            <w:tcW w:type="dxa" w:w="76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NEO PSP becomes a visible, scaling second growth engine rather than a pilot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B2B disbursement establishes NEO PSP's differentiated position ahead of any competitor closing the gap</w:t>
            </w:r>
          </w:p>
        </w:tc>
      </w:tr>
    </w:tbl>
    <w:p>
      <w:pPr>
        <w:pStyle w:val="Heading2"/>
        <w:spacing w:after="130" w:before="260"/>
      </w:pPr>
      <w:r>
        <w:t xml:space="preserve">Phase 3 (18–36 months): Compound the Ecosystem</w:t>
      </w:r>
    </w:p>
    <w:p>
      <w:pPr>
        <w:spacing w:after="140" w:line="300"/>
      </w:pPr>
      <w:r>
        <w:rPr>
          <w:sz w:val="21"/>
          <w:szCs w:val="21"/>
        </w:rPr>
        <w:t xml:space="preserve">Objective: move from a scaling payments business to a defensible financial-services ecosystem — layering adjacent services, consumer-side personalization, and open banking participation onto a now-established merchant and customer base.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00"/>
      </w:tblGrid>
      <w:tr>
        <w:trPr>
          <w:tblHeader/>
        </w:trPr>
        <w:tc>
          <w:tcPr>
            <w:tcW w:type="dxa" w:w="170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60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Objectives</w:t>
            </w:r>
          </w:p>
        </w:tc>
        <w:tc>
          <w:tcPr>
            <w:tcW w:type="dxa" w:w="76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Launch adjacent financial services (micro-savings placement, insurance premium collection) without carrying product risk directly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Participate in open banking/PISP ecosystem as the Bangladesh Bank framework matures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Establish NEO PSP as a replicable playbook for VEON's other operating markets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Key initiatives</w:t>
            </w:r>
          </w:p>
        </w:tc>
        <w:tc>
          <w:tcPr>
            <w:tcW w:type="dxa" w:w="76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Consumer-side data personalization combining transaction and telecom usage data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Credit-referral data monetization partnerships with banks/NBFIs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Open banking/PISP participation (account-to-account payment initiation)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Third-party insurance/micro-savings distribution partnerships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VEON cross-market playbook documentation and knowledge transfer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6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Bangladesh Bank open banking/PISP framework reaching sufficient maturity (targeted mid-2026, subject to regulatory pacing)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Sufficient transaction data volume and consent architecture from Phase 1–2 to support personalization reliably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Partner bank/NBFI agreements for credit-referral and product-distribution lines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Success metrics</w:t>
            </w:r>
          </w:p>
        </w:tc>
        <w:tc>
          <w:tcPr>
            <w:tcW w:type="dxa" w:w="76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Revenue diversification: adjacent/ecosystem revenue lines contributing a growing non-MDR share of total revenue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EBITDA breakeven achieved or clearly in sight (see Financial Model breakeven flag)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At least one VEON cross-market replication conversation formally initiated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Major risks</w:t>
            </w:r>
          </w:p>
        </w:tc>
        <w:tc>
          <w:tcPr>
            <w:tcW w:type="dxa" w:w="76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Open banking timeline slips, delaying the PISP-dependent revenue line — mitigated by treating this as upside, not core-case, per the Growth Framework's prioritization matrix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Over-expansion into adjacent services ahead of core profitability, repeating the capital-discipline risk flagged in the Executive Summary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E-commerce-native PSP entrants (Daraz, Chaldal) maturing into direct competitors for the same ecosystem plays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Expected outcomes</w:t>
            </w:r>
          </w:p>
        </w:tc>
        <w:tc>
          <w:tcPr>
            <w:tcW w:type="dxa" w:w="76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NEO PSP operates as a diversified, increasingly self-funding digital financial services platform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 credible, documented case for VEON to evaluate replication in other operating markets</w:t>
            </w:r>
          </w:p>
        </w:tc>
      </w:tr>
    </w:tbl>
    <w:p>
      <w:pPr>
        <w:pStyle w:val="Heading2"/>
        <w:spacing w:after="130" w:before="260"/>
      </w:pPr>
      <w:r>
        <w:t xml:space="preserve">Cross-Phase Governance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0"/>
          <w:szCs w:val="20"/>
        </w:rPr>
        <w:t xml:space="preserve">Each phase concludes with a formal steering committee gate review against the success metrics above — not an automatic progression.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0"/>
          <w:szCs w:val="20"/>
        </w:rPr>
        <w:t xml:space="preserve">Phase transitions should be capital-gated: Phase 2 funding is not released until Phase 1's compliance and reliability metrics are clean; Phase 3 ecosystem investment is not released until Phase 2's B2B disbursement and merchant retention targets are met.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0"/>
          <w:szCs w:val="20"/>
        </w:rPr>
        <w:t xml:space="preserve">This roadmap should be read alongside Section 9 (Risk Assessment) and the KPI Dashboard, which operationalizes the success metrics listed above into an ongoing tracking tool rather than a one-time checklist.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NEO PSP Strategic Growth Blueprint — Implementation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30" w:before="260"/>
      <w:outlineLvl w:val="1"/>
    </w:pPr>
    <w:rPr>
      <w:rFonts w:ascii="Calibri" w:cs="Calibri" w:eastAsia="Calibri" w:hAnsi="Calibri"/>
      <w:b/>
      <w:bCs/>
      <w:color w:val="D85A3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2026-08-03T17:55:26.061Z</dcterms:created>
  <dcterms:modified xsi:type="dcterms:W3CDTF">2026-08-03T17:55:26.061Z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