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2484D" w14:textId="77777777" w:rsidR="00C601AB" w:rsidRDefault="001F3095">
      <w:pPr>
        <w:spacing w:before="2400"/>
        <w:jc w:val="center"/>
      </w:pPr>
      <w:r>
        <w:rPr>
          <w:b/>
          <w:bCs/>
          <w:color w:val="1B2A4A"/>
          <w:sz w:val="56"/>
          <w:szCs w:val="56"/>
        </w:rPr>
        <w:t>NEO PSP</w:t>
      </w:r>
    </w:p>
    <w:p w14:paraId="4F3C9793" w14:textId="77777777" w:rsidR="00C601AB" w:rsidRDefault="001F3095">
      <w:pPr>
        <w:spacing w:after="200"/>
        <w:jc w:val="center"/>
      </w:pPr>
      <w:r>
        <w:rPr>
          <w:b/>
          <w:bCs/>
          <w:color w:val="D85A30"/>
          <w:sz w:val="30"/>
          <w:szCs w:val="30"/>
        </w:rPr>
        <w:t>A Strategic Roadmap for Accelerating Digital Financial Services in Bangladesh</w:t>
      </w:r>
    </w:p>
    <w:p w14:paraId="628FC7EE" w14:textId="77777777" w:rsidR="00C601AB" w:rsidRDefault="001F3095">
      <w:pPr>
        <w:spacing w:before="800" w:after="100"/>
        <w:jc w:val="center"/>
      </w:pPr>
      <w:r>
        <w:rPr>
          <w:i/>
          <w:iCs/>
          <w:color w:val="555555"/>
          <w:sz w:val="22"/>
          <w:szCs w:val="22"/>
        </w:rPr>
        <w:t>Independent Strategic Advisory Report</w:t>
      </w:r>
    </w:p>
    <w:p w14:paraId="40F5D405" w14:textId="77777777" w:rsidR="00C601AB" w:rsidRDefault="001F3095">
      <w:pPr>
        <w:spacing w:after="60"/>
        <w:jc w:val="center"/>
      </w:pPr>
      <w:r>
        <w:rPr>
          <w:color w:val="555555"/>
          <w:sz w:val="20"/>
          <w:szCs w:val="20"/>
        </w:rPr>
        <w:t>Prepared for: Banglalink CEO · Chief Strategy Officer · DFS Leadership · VEON Regional Executives</w:t>
      </w:r>
    </w:p>
    <w:p w14:paraId="31D3A680" w14:textId="77777777" w:rsidR="00C601AB" w:rsidRDefault="001F3095">
      <w:pPr>
        <w:spacing w:after="60"/>
        <w:jc w:val="center"/>
      </w:pPr>
      <w:r>
        <w:rPr>
          <w:color w:val="555555"/>
          <w:sz w:val="20"/>
          <w:szCs w:val="20"/>
        </w:rPr>
        <w:t>August 2026</w:t>
      </w:r>
    </w:p>
    <w:p w14:paraId="1FA73872" w14:textId="77777777" w:rsidR="00C601AB" w:rsidRDefault="001F3095">
      <w:pPr>
        <w:spacing w:before="1200"/>
        <w:jc w:val="center"/>
      </w:pPr>
      <w:r>
        <w:rPr>
          <w:i/>
          <w:iCs/>
          <w:color w:val="888888"/>
          <w:sz w:val="16"/>
          <w:szCs w:val="16"/>
        </w:rPr>
        <w:t>Prepared using publicly available information, industry benchmarks, and explicitly stated assumptions. Not an official Banglalink or VEON publication.</w:t>
      </w:r>
    </w:p>
    <w:p w14:paraId="6D2D2CE0" w14:textId="77777777" w:rsidR="00C601AB" w:rsidRDefault="001F3095">
      <w:r>
        <w:br w:type="page"/>
      </w:r>
    </w:p>
    <w:p w14:paraId="791F87CE" w14:textId="77777777" w:rsidR="00C601AB" w:rsidRDefault="001F3095">
      <w:pPr>
        <w:pStyle w:val="Heading1"/>
      </w:pPr>
      <w:bookmarkStart w:id="0" w:name="_Toc236781292"/>
      <w:bookmarkStart w:id="1" w:name="_Toc236833996"/>
      <w:r>
        <w:lastRenderedPageBreak/>
        <w:t>Table of Contents</w:t>
      </w:r>
      <w:bookmarkEnd w:id="0"/>
      <w:bookmarkEnd w:id="1"/>
    </w:p>
    <w:sdt>
      <w:sdtPr>
        <w:alias w:val="Table of Contents"/>
        <w:id w:val="1788536193"/>
      </w:sdtPr>
      <w:sdtEndPr/>
      <w:sdtContent>
        <w:p w14:paraId="78BAED98" w14:textId="305BFD54" w:rsidR="0032767E" w:rsidRDefault="001F3095">
          <w:pPr>
            <w:pStyle w:val="TOC1"/>
            <w:tabs>
              <w:tab w:val="right" w:leader="dot" w:pos="10070"/>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36833997" w:history="1">
            <w:r w:rsidR="0032767E" w:rsidRPr="00861BC7">
              <w:rPr>
                <w:rStyle w:val="Hyperlink"/>
                <w:noProof/>
              </w:rPr>
              <w:t>Report Architecture &amp; Design Rationale</w:t>
            </w:r>
            <w:r w:rsidR="0032767E">
              <w:rPr>
                <w:noProof/>
              </w:rPr>
              <w:tab/>
            </w:r>
            <w:r w:rsidR="0032767E">
              <w:rPr>
                <w:noProof/>
              </w:rPr>
              <w:fldChar w:fldCharType="begin"/>
            </w:r>
            <w:r w:rsidR="0032767E">
              <w:rPr>
                <w:noProof/>
              </w:rPr>
              <w:instrText xml:space="preserve"> PAGEREF _Toc236833997 \h </w:instrText>
            </w:r>
            <w:r w:rsidR="0032767E">
              <w:rPr>
                <w:noProof/>
              </w:rPr>
            </w:r>
            <w:r w:rsidR="0032767E">
              <w:rPr>
                <w:noProof/>
              </w:rPr>
              <w:fldChar w:fldCharType="separate"/>
            </w:r>
            <w:r w:rsidR="0032767E">
              <w:rPr>
                <w:noProof/>
              </w:rPr>
              <w:t>3</w:t>
            </w:r>
            <w:r w:rsidR="0032767E">
              <w:rPr>
                <w:noProof/>
              </w:rPr>
              <w:fldChar w:fldCharType="end"/>
            </w:r>
          </w:hyperlink>
        </w:p>
        <w:p w14:paraId="3639E332" w14:textId="089ECEA8"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3998" w:history="1">
            <w:r w:rsidRPr="00861BC7">
              <w:rPr>
                <w:rStyle w:val="Hyperlink"/>
                <w:noProof/>
              </w:rPr>
              <w:t>Frameworks used</w:t>
            </w:r>
            <w:r>
              <w:rPr>
                <w:noProof/>
              </w:rPr>
              <w:tab/>
            </w:r>
            <w:r>
              <w:rPr>
                <w:noProof/>
              </w:rPr>
              <w:fldChar w:fldCharType="begin"/>
            </w:r>
            <w:r>
              <w:rPr>
                <w:noProof/>
              </w:rPr>
              <w:instrText xml:space="preserve"> PAGEREF _Toc236833998 \h </w:instrText>
            </w:r>
            <w:r>
              <w:rPr>
                <w:noProof/>
              </w:rPr>
            </w:r>
            <w:r>
              <w:rPr>
                <w:noProof/>
              </w:rPr>
              <w:fldChar w:fldCharType="separate"/>
            </w:r>
            <w:r>
              <w:rPr>
                <w:noProof/>
              </w:rPr>
              <w:t>3</w:t>
            </w:r>
            <w:r>
              <w:rPr>
                <w:noProof/>
              </w:rPr>
              <w:fldChar w:fldCharType="end"/>
            </w:r>
          </w:hyperlink>
        </w:p>
        <w:p w14:paraId="65CDBC1F" w14:textId="032FC237" w:rsidR="0032767E" w:rsidRDefault="0032767E">
          <w:pPr>
            <w:pStyle w:val="TOC1"/>
            <w:tabs>
              <w:tab w:val="right" w:leader="dot" w:pos="10070"/>
            </w:tabs>
            <w:rPr>
              <w:rFonts w:asciiTheme="minorHAnsi" w:eastAsiaTheme="minorEastAsia" w:hAnsiTheme="minorHAnsi" w:cstheme="minorBidi"/>
              <w:noProof/>
              <w:sz w:val="22"/>
              <w:szCs w:val="22"/>
            </w:rPr>
          </w:pPr>
          <w:hyperlink w:anchor="_Toc236833999" w:history="1">
            <w:r w:rsidRPr="00861BC7">
              <w:rPr>
                <w:rStyle w:val="Hyperlink"/>
                <w:noProof/>
              </w:rPr>
              <w:t>1. Executive Summary</w:t>
            </w:r>
            <w:r>
              <w:rPr>
                <w:noProof/>
              </w:rPr>
              <w:tab/>
            </w:r>
            <w:r>
              <w:rPr>
                <w:noProof/>
              </w:rPr>
              <w:fldChar w:fldCharType="begin"/>
            </w:r>
            <w:r>
              <w:rPr>
                <w:noProof/>
              </w:rPr>
              <w:instrText xml:space="preserve"> PAGEREF _Toc236833999 \h </w:instrText>
            </w:r>
            <w:r>
              <w:rPr>
                <w:noProof/>
              </w:rPr>
            </w:r>
            <w:r>
              <w:rPr>
                <w:noProof/>
              </w:rPr>
              <w:fldChar w:fldCharType="separate"/>
            </w:r>
            <w:r>
              <w:rPr>
                <w:noProof/>
              </w:rPr>
              <w:t>4</w:t>
            </w:r>
            <w:r>
              <w:rPr>
                <w:noProof/>
              </w:rPr>
              <w:fldChar w:fldCharType="end"/>
            </w:r>
          </w:hyperlink>
        </w:p>
        <w:p w14:paraId="20B6CBA1" w14:textId="4719A3CF"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00" w:history="1">
            <w:r w:rsidRPr="00861BC7">
              <w:rPr>
                <w:rStyle w:val="Hyperlink"/>
                <w:noProof/>
              </w:rPr>
              <w:t>1.1 Strategic opportunity</w:t>
            </w:r>
            <w:r>
              <w:rPr>
                <w:noProof/>
              </w:rPr>
              <w:tab/>
            </w:r>
            <w:r>
              <w:rPr>
                <w:noProof/>
              </w:rPr>
              <w:fldChar w:fldCharType="begin"/>
            </w:r>
            <w:r>
              <w:rPr>
                <w:noProof/>
              </w:rPr>
              <w:instrText xml:space="preserve"> PAGEREF _Toc236834000 \h </w:instrText>
            </w:r>
            <w:r>
              <w:rPr>
                <w:noProof/>
              </w:rPr>
            </w:r>
            <w:r>
              <w:rPr>
                <w:noProof/>
              </w:rPr>
              <w:fldChar w:fldCharType="separate"/>
            </w:r>
            <w:r>
              <w:rPr>
                <w:noProof/>
              </w:rPr>
              <w:t>4</w:t>
            </w:r>
            <w:r>
              <w:rPr>
                <w:noProof/>
              </w:rPr>
              <w:fldChar w:fldCharType="end"/>
            </w:r>
          </w:hyperlink>
        </w:p>
        <w:p w14:paraId="1FAE9537" w14:textId="0A0C674E"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01" w:history="1">
            <w:r w:rsidRPr="00861BC7">
              <w:rPr>
                <w:rStyle w:val="Hyperlink"/>
                <w:noProof/>
              </w:rPr>
              <w:t>1.2 Market potential</w:t>
            </w:r>
            <w:r>
              <w:rPr>
                <w:noProof/>
              </w:rPr>
              <w:tab/>
            </w:r>
            <w:r>
              <w:rPr>
                <w:noProof/>
              </w:rPr>
              <w:fldChar w:fldCharType="begin"/>
            </w:r>
            <w:r>
              <w:rPr>
                <w:noProof/>
              </w:rPr>
              <w:instrText xml:space="preserve"> PAGEREF _Toc236834001 \h </w:instrText>
            </w:r>
            <w:r>
              <w:rPr>
                <w:noProof/>
              </w:rPr>
            </w:r>
            <w:r>
              <w:rPr>
                <w:noProof/>
              </w:rPr>
              <w:fldChar w:fldCharType="separate"/>
            </w:r>
            <w:r>
              <w:rPr>
                <w:noProof/>
              </w:rPr>
              <w:t>4</w:t>
            </w:r>
            <w:r>
              <w:rPr>
                <w:noProof/>
              </w:rPr>
              <w:fldChar w:fldCharType="end"/>
            </w:r>
          </w:hyperlink>
        </w:p>
        <w:p w14:paraId="079F1B87" w14:textId="34C3AA2B"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02" w:history="1">
            <w:r w:rsidRPr="00861BC7">
              <w:rPr>
                <w:rStyle w:val="Hyperlink"/>
                <w:noProof/>
              </w:rPr>
              <w:t>1.3 Investment priorities</w:t>
            </w:r>
            <w:r>
              <w:rPr>
                <w:noProof/>
              </w:rPr>
              <w:tab/>
            </w:r>
            <w:r>
              <w:rPr>
                <w:noProof/>
              </w:rPr>
              <w:fldChar w:fldCharType="begin"/>
            </w:r>
            <w:r>
              <w:rPr>
                <w:noProof/>
              </w:rPr>
              <w:instrText xml:space="preserve"> PAGEREF _Toc236834002 \h </w:instrText>
            </w:r>
            <w:r>
              <w:rPr>
                <w:noProof/>
              </w:rPr>
            </w:r>
            <w:r>
              <w:rPr>
                <w:noProof/>
              </w:rPr>
              <w:fldChar w:fldCharType="separate"/>
            </w:r>
            <w:r>
              <w:rPr>
                <w:noProof/>
              </w:rPr>
              <w:t>4</w:t>
            </w:r>
            <w:r>
              <w:rPr>
                <w:noProof/>
              </w:rPr>
              <w:fldChar w:fldCharType="end"/>
            </w:r>
          </w:hyperlink>
        </w:p>
        <w:p w14:paraId="7DEFB486" w14:textId="18457448"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03" w:history="1">
            <w:r w:rsidRPr="00861BC7">
              <w:rPr>
                <w:rStyle w:val="Hyperlink"/>
                <w:noProof/>
              </w:rPr>
              <w:t>1.4 Expected outcomes</w:t>
            </w:r>
            <w:r>
              <w:rPr>
                <w:noProof/>
              </w:rPr>
              <w:tab/>
            </w:r>
            <w:r>
              <w:rPr>
                <w:noProof/>
              </w:rPr>
              <w:fldChar w:fldCharType="begin"/>
            </w:r>
            <w:r>
              <w:rPr>
                <w:noProof/>
              </w:rPr>
              <w:instrText xml:space="preserve"> PAGEREF _Toc236834003 \h </w:instrText>
            </w:r>
            <w:r>
              <w:rPr>
                <w:noProof/>
              </w:rPr>
            </w:r>
            <w:r>
              <w:rPr>
                <w:noProof/>
              </w:rPr>
              <w:fldChar w:fldCharType="separate"/>
            </w:r>
            <w:r>
              <w:rPr>
                <w:noProof/>
              </w:rPr>
              <w:t>5</w:t>
            </w:r>
            <w:r>
              <w:rPr>
                <w:noProof/>
              </w:rPr>
              <w:fldChar w:fldCharType="end"/>
            </w:r>
          </w:hyperlink>
        </w:p>
        <w:p w14:paraId="6FED7881" w14:textId="6811EC57"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04" w:history="1">
            <w:r w:rsidRPr="00861BC7">
              <w:rPr>
                <w:rStyle w:val="Hyperlink"/>
                <w:noProof/>
              </w:rPr>
              <w:t>1.5 Major risks</w:t>
            </w:r>
            <w:r>
              <w:rPr>
                <w:noProof/>
              </w:rPr>
              <w:tab/>
            </w:r>
            <w:r>
              <w:rPr>
                <w:noProof/>
              </w:rPr>
              <w:fldChar w:fldCharType="begin"/>
            </w:r>
            <w:r>
              <w:rPr>
                <w:noProof/>
              </w:rPr>
              <w:instrText xml:space="preserve"> PAGEREF _Toc236834004 \h </w:instrText>
            </w:r>
            <w:r>
              <w:rPr>
                <w:noProof/>
              </w:rPr>
            </w:r>
            <w:r>
              <w:rPr>
                <w:noProof/>
              </w:rPr>
              <w:fldChar w:fldCharType="separate"/>
            </w:r>
            <w:r>
              <w:rPr>
                <w:noProof/>
              </w:rPr>
              <w:t>5</w:t>
            </w:r>
            <w:r>
              <w:rPr>
                <w:noProof/>
              </w:rPr>
              <w:fldChar w:fldCharType="end"/>
            </w:r>
          </w:hyperlink>
        </w:p>
        <w:p w14:paraId="0434E893" w14:textId="08D8AF42"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05" w:history="1">
            <w:r w:rsidRPr="00861BC7">
              <w:rPr>
                <w:rStyle w:val="Hyperlink"/>
                <w:noProof/>
              </w:rPr>
              <w:t>1.6 Board recommendation</w:t>
            </w:r>
            <w:r>
              <w:rPr>
                <w:noProof/>
              </w:rPr>
              <w:tab/>
            </w:r>
            <w:r>
              <w:rPr>
                <w:noProof/>
              </w:rPr>
              <w:fldChar w:fldCharType="begin"/>
            </w:r>
            <w:r>
              <w:rPr>
                <w:noProof/>
              </w:rPr>
              <w:instrText xml:space="preserve"> PAGEREF _Toc236834005 \h </w:instrText>
            </w:r>
            <w:r>
              <w:rPr>
                <w:noProof/>
              </w:rPr>
            </w:r>
            <w:r>
              <w:rPr>
                <w:noProof/>
              </w:rPr>
              <w:fldChar w:fldCharType="separate"/>
            </w:r>
            <w:r>
              <w:rPr>
                <w:noProof/>
              </w:rPr>
              <w:t>5</w:t>
            </w:r>
            <w:r>
              <w:rPr>
                <w:noProof/>
              </w:rPr>
              <w:fldChar w:fldCharType="end"/>
            </w:r>
          </w:hyperlink>
        </w:p>
        <w:p w14:paraId="7CCAFEAE" w14:textId="75451D00" w:rsidR="0032767E" w:rsidRDefault="0032767E">
          <w:pPr>
            <w:pStyle w:val="TOC1"/>
            <w:tabs>
              <w:tab w:val="right" w:leader="dot" w:pos="10070"/>
            </w:tabs>
            <w:rPr>
              <w:rFonts w:asciiTheme="minorHAnsi" w:eastAsiaTheme="minorEastAsia" w:hAnsiTheme="minorHAnsi" w:cstheme="minorBidi"/>
              <w:noProof/>
              <w:sz w:val="22"/>
              <w:szCs w:val="22"/>
            </w:rPr>
          </w:pPr>
          <w:hyperlink w:anchor="_Toc236834006" w:history="1">
            <w:r w:rsidRPr="00861BC7">
              <w:rPr>
                <w:rStyle w:val="Hyperlink"/>
                <w:noProof/>
              </w:rPr>
              <w:t>2. Strategic Market Assessment</w:t>
            </w:r>
            <w:r>
              <w:rPr>
                <w:noProof/>
              </w:rPr>
              <w:tab/>
            </w:r>
            <w:r>
              <w:rPr>
                <w:noProof/>
              </w:rPr>
              <w:fldChar w:fldCharType="begin"/>
            </w:r>
            <w:r>
              <w:rPr>
                <w:noProof/>
              </w:rPr>
              <w:instrText xml:space="preserve"> PAGEREF _Toc236834006 \h </w:instrText>
            </w:r>
            <w:r>
              <w:rPr>
                <w:noProof/>
              </w:rPr>
            </w:r>
            <w:r>
              <w:rPr>
                <w:noProof/>
              </w:rPr>
              <w:fldChar w:fldCharType="separate"/>
            </w:r>
            <w:r>
              <w:rPr>
                <w:noProof/>
              </w:rPr>
              <w:t>6</w:t>
            </w:r>
            <w:r>
              <w:rPr>
                <w:noProof/>
              </w:rPr>
              <w:fldChar w:fldCharType="end"/>
            </w:r>
          </w:hyperlink>
        </w:p>
        <w:p w14:paraId="12994AA8" w14:textId="370A000D"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07" w:history="1">
            <w:r w:rsidRPr="00861BC7">
              <w:rPr>
                <w:rStyle w:val="Hyperlink"/>
                <w:noProof/>
              </w:rPr>
              <w:t>2.1 Mobile Financial Services market</w:t>
            </w:r>
            <w:r>
              <w:rPr>
                <w:noProof/>
              </w:rPr>
              <w:tab/>
            </w:r>
            <w:r>
              <w:rPr>
                <w:noProof/>
              </w:rPr>
              <w:fldChar w:fldCharType="begin"/>
            </w:r>
            <w:r>
              <w:rPr>
                <w:noProof/>
              </w:rPr>
              <w:instrText xml:space="preserve"> PAGEREF _Toc236834007 \h </w:instrText>
            </w:r>
            <w:r>
              <w:rPr>
                <w:noProof/>
              </w:rPr>
            </w:r>
            <w:r>
              <w:rPr>
                <w:noProof/>
              </w:rPr>
              <w:fldChar w:fldCharType="separate"/>
            </w:r>
            <w:r>
              <w:rPr>
                <w:noProof/>
              </w:rPr>
              <w:t>6</w:t>
            </w:r>
            <w:r>
              <w:rPr>
                <w:noProof/>
              </w:rPr>
              <w:fldChar w:fldCharType="end"/>
            </w:r>
          </w:hyperlink>
        </w:p>
        <w:p w14:paraId="1DD1C2CF" w14:textId="55F55338"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08" w:history="1">
            <w:r w:rsidRPr="00861BC7">
              <w:rPr>
                <w:rStyle w:val="Hyperlink"/>
                <w:noProof/>
              </w:rPr>
              <w:t>2.2 Digital payment adoption</w:t>
            </w:r>
            <w:r>
              <w:rPr>
                <w:noProof/>
              </w:rPr>
              <w:tab/>
            </w:r>
            <w:r>
              <w:rPr>
                <w:noProof/>
              </w:rPr>
              <w:fldChar w:fldCharType="begin"/>
            </w:r>
            <w:r>
              <w:rPr>
                <w:noProof/>
              </w:rPr>
              <w:instrText xml:space="preserve"> PAGEREF _Toc236834008 \h </w:instrText>
            </w:r>
            <w:r>
              <w:rPr>
                <w:noProof/>
              </w:rPr>
            </w:r>
            <w:r>
              <w:rPr>
                <w:noProof/>
              </w:rPr>
              <w:fldChar w:fldCharType="separate"/>
            </w:r>
            <w:r>
              <w:rPr>
                <w:noProof/>
              </w:rPr>
              <w:t>6</w:t>
            </w:r>
            <w:r>
              <w:rPr>
                <w:noProof/>
              </w:rPr>
              <w:fldChar w:fldCharType="end"/>
            </w:r>
          </w:hyperlink>
        </w:p>
        <w:p w14:paraId="132B4662" w14:textId="6A298E05"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09" w:history="1">
            <w:r w:rsidRPr="00861BC7">
              <w:rPr>
                <w:rStyle w:val="Hyperlink"/>
                <w:noProof/>
              </w:rPr>
              <w:t>2.3 Merchant digitization</w:t>
            </w:r>
            <w:r>
              <w:rPr>
                <w:noProof/>
              </w:rPr>
              <w:tab/>
            </w:r>
            <w:r>
              <w:rPr>
                <w:noProof/>
              </w:rPr>
              <w:fldChar w:fldCharType="begin"/>
            </w:r>
            <w:r>
              <w:rPr>
                <w:noProof/>
              </w:rPr>
              <w:instrText xml:space="preserve"> PAGEREF _Toc236834009 \h </w:instrText>
            </w:r>
            <w:r>
              <w:rPr>
                <w:noProof/>
              </w:rPr>
            </w:r>
            <w:r>
              <w:rPr>
                <w:noProof/>
              </w:rPr>
              <w:fldChar w:fldCharType="separate"/>
            </w:r>
            <w:r>
              <w:rPr>
                <w:noProof/>
              </w:rPr>
              <w:t>7</w:t>
            </w:r>
            <w:r>
              <w:rPr>
                <w:noProof/>
              </w:rPr>
              <w:fldChar w:fldCharType="end"/>
            </w:r>
          </w:hyperlink>
        </w:p>
        <w:p w14:paraId="7E37E681" w14:textId="50F5086E"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10" w:history="1">
            <w:r w:rsidRPr="00861BC7">
              <w:rPr>
                <w:rStyle w:val="Hyperlink"/>
                <w:noProof/>
              </w:rPr>
              <w:t>2.4 Consumer behaviour</w:t>
            </w:r>
            <w:r>
              <w:rPr>
                <w:noProof/>
              </w:rPr>
              <w:tab/>
            </w:r>
            <w:r>
              <w:rPr>
                <w:noProof/>
              </w:rPr>
              <w:fldChar w:fldCharType="begin"/>
            </w:r>
            <w:r>
              <w:rPr>
                <w:noProof/>
              </w:rPr>
              <w:instrText xml:space="preserve"> PAGEREF _Toc236834010 \h </w:instrText>
            </w:r>
            <w:r>
              <w:rPr>
                <w:noProof/>
              </w:rPr>
            </w:r>
            <w:r>
              <w:rPr>
                <w:noProof/>
              </w:rPr>
              <w:fldChar w:fldCharType="separate"/>
            </w:r>
            <w:r>
              <w:rPr>
                <w:noProof/>
              </w:rPr>
              <w:t>7</w:t>
            </w:r>
            <w:r>
              <w:rPr>
                <w:noProof/>
              </w:rPr>
              <w:fldChar w:fldCharType="end"/>
            </w:r>
          </w:hyperlink>
        </w:p>
        <w:p w14:paraId="4192D8F3" w14:textId="7FEDA7BF"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11" w:history="1">
            <w:r w:rsidRPr="00861BC7">
              <w:rPr>
                <w:rStyle w:val="Hyperlink"/>
                <w:noProof/>
              </w:rPr>
              <w:t>2.5 Smartphone &amp; internet penetration</w:t>
            </w:r>
            <w:r>
              <w:rPr>
                <w:noProof/>
              </w:rPr>
              <w:tab/>
            </w:r>
            <w:r>
              <w:rPr>
                <w:noProof/>
              </w:rPr>
              <w:fldChar w:fldCharType="begin"/>
            </w:r>
            <w:r>
              <w:rPr>
                <w:noProof/>
              </w:rPr>
              <w:instrText xml:space="preserve"> PAGEREF _Toc236834011 \h </w:instrText>
            </w:r>
            <w:r>
              <w:rPr>
                <w:noProof/>
              </w:rPr>
            </w:r>
            <w:r>
              <w:rPr>
                <w:noProof/>
              </w:rPr>
              <w:fldChar w:fldCharType="separate"/>
            </w:r>
            <w:r>
              <w:rPr>
                <w:noProof/>
              </w:rPr>
              <w:t>7</w:t>
            </w:r>
            <w:r>
              <w:rPr>
                <w:noProof/>
              </w:rPr>
              <w:fldChar w:fldCharType="end"/>
            </w:r>
          </w:hyperlink>
        </w:p>
        <w:p w14:paraId="3999C64F" w14:textId="008D5E1B"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12" w:history="1">
            <w:r w:rsidRPr="00861BC7">
              <w:rPr>
                <w:rStyle w:val="Hyperlink"/>
                <w:noProof/>
              </w:rPr>
              <w:t>2.6 Regulatory environment</w:t>
            </w:r>
            <w:r>
              <w:rPr>
                <w:noProof/>
              </w:rPr>
              <w:tab/>
            </w:r>
            <w:r>
              <w:rPr>
                <w:noProof/>
              </w:rPr>
              <w:fldChar w:fldCharType="begin"/>
            </w:r>
            <w:r>
              <w:rPr>
                <w:noProof/>
              </w:rPr>
              <w:instrText xml:space="preserve"> PAGEREF _Toc236834012 \h </w:instrText>
            </w:r>
            <w:r>
              <w:rPr>
                <w:noProof/>
              </w:rPr>
            </w:r>
            <w:r>
              <w:rPr>
                <w:noProof/>
              </w:rPr>
              <w:fldChar w:fldCharType="separate"/>
            </w:r>
            <w:r>
              <w:rPr>
                <w:noProof/>
              </w:rPr>
              <w:t>7</w:t>
            </w:r>
            <w:r>
              <w:rPr>
                <w:noProof/>
              </w:rPr>
              <w:fldChar w:fldCharType="end"/>
            </w:r>
          </w:hyperlink>
        </w:p>
        <w:p w14:paraId="5B598AFB" w14:textId="5EDCD115"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13" w:history="1">
            <w:r w:rsidRPr="00861BC7">
              <w:rPr>
                <w:rStyle w:val="Hyperlink"/>
                <w:noProof/>
              </w:rPr>
              <w:t>2.7 Future industry trends</w:t>
            </w:r>
            <w:r>
              <w:rPr>
                <w:noProof/>
              </w:rPr>
              <w:tab/>
            </w:r>
            <w:r>
              <w:rPr>
                <w:noProof/>
              </w:rPr>
              <w:fldChar w:fldCharType="begin"/>
            </w:r>
            <w:r>
              <w:rPr>
                <w:noProof/>
              </w:rPr>
              <w:instrText xml:space="preserve"> PAGEREF _Toc236834013 \h </w:instrText>
            </w:r>
            <w:r>
              <w:rPr>
                <w:noProof/>
              </w:rPr>
            </w:r>
            <w:r>
              <w:rPr>
                <w:noProof/>
              </w:rPr>
              <w:fldChar w:fldCharType="separate"/>
            </w:r>
            <w:r>
              <w:rPr>
                <w:noProof/>
              </w:rPr>
              <w:t>8</w:t>
            </w:r>
            <w:r>
              <w:rPr>
                <w:noProof/>
              </w:rPr>
              <w:fldChar w:fldCharType="end"/>
            </w:r>
          </w:hyperlink>
        </w:p>
        <w:p w14:paraId="1535A790" w14:textId="2EE926F0" w:rsidR="0032767E" w:rsidRDefault="0032767E">
          <w:pPr>
            <w:pStyle w:val="TOC1"/>
            <w:tabs>
              <w:tab w:val="right" w:leader="dot" w:pos="10070"/>
            </w:tabs>
            <w:rPr>
              <w:rFonts w:asciiTheme="minorHAnsi" w:eastAsiaTheme="minorEastAsia" w:hAnsiTheme="minorHAnsi" w:cstheme="minorBidi"/>
              <w:noProof/>
              <w:sz w:val="22"/>
              <w:szCs w:val="22"/>
            </w:rPr>
          </w:pPr>
          <w:hyperlink w:anchor="_Toc236834014" w:history="1">
            <w:r w:rsidRPr="00861BC7">
              <w:rPr>
                <w:rStyle w:val="Hyperlink"/>
                <w:noProof/>
              </w:rPr>
              <w:t>3. Competitive Benchmarking</w:t>
            </w:r>
            <w:r>
              <w:rPr>
                <w:noProof/>
              </w:rPr>
              <w:tab/>
            </w:r>
            <w:r>
              <w:rPr>
                <w:noProof/>
              </w:rPr>
              <w:fldChar w:fldCharType="begin"/>
            </w:r>
            <w:r>
              <w:rPr>
                <w:noProof/>
              </w:rPr>
              <w:instrText xml:space="preserve"> PAGEREF _Toc236834014 \h </w:instrText>
            </w:r>
            <w:r>
              <w:rPr>
                <w:noProof/>
              </w:rPr>
            </w:r>
            <w:r>
              <w:rPr>
                <w:noProof/>
              </w:rPr>
              <w:fldChar w:fldCharType="separate"/>
            </w:r>
            <w:r>
              <w:rPr>
                <w:noProof/>
              </w:rPr>
              <w:t>9</w:t>
            </w:r>
            <w:r>
              <w:rPr>
                <w:noProof/>
              </w:rPr>
              <w:fldChar w:fldCharType="end"/>
            </w:r>
          </w:hyperlink>
        </w:p>
        <w:p w14:paraId="4669F3C3" w14:textId="716A238A"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15" w:history="1">
            <w:r w:rsidRPr="00861BC7">
              <w:rPr>
                <w:rStyle w:val="Hyperlink"/>
                <w:noProof/>
              </w:rPr>
              <w:t>3.1 Benchmark comparison</w:t>
            </w:r>
            <w:r>
              <w:rPr>
                <w:noProof/>
              </w:rPr>
              <w:tab/>
            </w:r>
            <w:r>
              <w:rPr>
                <w:noProof/>
              </w:rPr>
              <w:fldChar w:fldCharType="begin"/>
            </w:r>
            <w:r>
              <w:rPr>
                <w:noProof/>
              </w:rPr>
              <w:instrText xml:space="preserve"> PAGEREF _Toc236834015 \h </w:instrText>
            </w:r>
            <w:r>
              <w:rPr>
                <w:noProof/>
              </w:rPr>
            </w:r>
            <w:r>
              <w:rPr>
                <w:noProof/>
              </w:rPr>
              <w:fldChar w:fldCharType="separate"/>
            </w:r>
            <w:r>
              <w:rPr>
                <w:noProof/>
              </w:rPr>
              <w:t>9</w:t>
            </w:r>
            <w:r>
              <w:rPr>
                <w:noProof/>
              </w:rPr>
              <w:fldChar w:fldCharType="end"/>
            </w:r>
          </w:hyperlink>
        </w:p>
        <w:p w14:paraId="69B95F5F" w14:textId="7794611F"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16" w:history="1">
            <w:r w:rsidRPr="00861BC7">
              <w:rPr>
                <w:rStyle w:val="Hyperlink"/>
                <w:noProof/>
              </w:rPr>
              <w:t>3.2 Strategic gaps NEO PSP could address</w:t>
            </w:r>
            <w:r>
              <w:rPr>
                <w:noProof/>
              </w:rPr>
              <w:tab/>
            </w:r>
            <w:r>
              <w:rPr>
                <w:noProof/>
              </w:rPr>
              <w:fldChar w:fldCharType="begin"/>
            </w:r>
            <w:r>
              <w:rPr>
                <w:noProof/>
              </w:rPr>
              <w:instrText xml:space="preserve"> PAGEREF _Toc236834016 \h </w:instrText>
            </w:r>
            <w:r>
              <w:rPr>
                <w:noProof/>
              </w:rPr>
            </w:r>
            <w:r>
              <w:rPr>
                <w:noProof/>
              </w:rPr>
              <w:fldChar w:fldCharType="separate"/>
            </w:r>
            <w:r>
              <w:rPr>
                <w:noProof/>
              </w:rPr>
              <w:t>10</w:t>
            </w:r>
            <w:r>
              <w:rPr>
                <w:noProof/>
              </w:rPr>
              <w:fldChar w:fldCharType="end"/>
            </w:r>
          </w:hyperlink>
        </w:p>
        <w:p w14:paraId="078CB00F" w14:textId="0BB709D1" w:rsidR="0032767E" w:rsidRDefault="0032767E">
          <w:pPr>
            <w:pStyle w:val="TOC1"/>
            <w:tabs>
              <w:tab w:val="right" w:leader="dot" w:pos="10070"/>
            </w:tabs>
            <w:rPr>
              <w:rFonts w:asciiTheme="minorHAnsi" w:eastAsiaTheme="minorEastAsia" w:hAnsiTheme="minorHAnsi" w:cstheme="minorBidi"/>
              <w:noProof/>
              <w:sz w:val="22"/>
              <w:szCs w:val="22"/>
            </w:rPr>
          </w:pPr>
          <w:hyperlink w:anchor="_Toc236834017" w:history="1">
            <w:r w:rsidRPr="00861BC7">
              <w:rPr>
                <w:rStyle w:val="Hyperlink"/>
                <w:noProof/>
              </w:rPr>
              <w:t>4. Three-Year Strategic Growth Framework</w:t>
            </w:r>
            <w:r>
              <w:rPr>
                <w:noProof/>
              </w:rPr>
              <w:tab/>
            </w:r>
            <w:r>
              <w:rPr>
                <w:noProof/>
              </w:rPr>
              <w:fldChar w:fldCharType="begin"/>
            </w:r>
            <w:r>
              <w:rPr>
                <w:noProof/>
              </w:rPr>
              <w:instrText xml:space="preserve"> PAGEREF _Toc236834017 \h </w:instrText>
            </w:r>
            <w:r>
              <w:rPr>
                <w:noProof/>
              </w:rPr>
            </w:r>
            <w:r>
              <w:rPr>
                <w:noProof/>
              </w:rPr>
              <w:fldChar w:fldCharType="separate"/>
            </w:r>
            <w:r>
              <w:rPr>
                <w:noProof/>
              </w:rPr>
              <w:t>11</w:t>
            </w:r>
            <w:r>
              <w:rPr>
                <w:noProof/>
              </w:rPr>
              <w:fldChar w:fldCharType="end"/>
            </w:r>
          </w:hyperlink>
        </w:p>
        <w:p w14:paraId="3B4ADC2F" w14:textId="7D3D80B7"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18" w:history="1">
            <w:r w:rsidRPr="00861BC7">
              <w:rPr>
                <w:rStyle w:val="Hyperlink"/>
                <w:noProof/>
              </w:rPr>
              <w:t>4.1 Growth levers by horizon</w:t>
            </w:r>
            <w:r>
              <w:rPr>
                <w:noProof/>
              </w:rPr>
              <w:tab/>
            </w:r>
            <w:r>
              <w:rPr>
                <w:noProof/>
              </w:rPr>
              <w:fldChar w:fldCharType="begin"/>
            </w:r>
            <w:r>
              <w:rPr>
                <w:noProof/>
              </w:rPr>
              <w:instrText xml:space="preserve"> PAGEREF _Toc236834018 \h </w:instrText>
            </w:r>
            <w:r>
              <w:rPr>
                <w:noProof/>
              </w:rPr>
            </w:r>
            <w:r>
              <w:rPr>
                <w:noProof/>
              </w:rPr>
              <w:fldChar w:fldCharType="separate"/>
            </w:r>
            <w:r>
              <w:rPr>
                <w:noProof/>
              </w:rPr>
              <w:t>11</w:t>
            </w:r>
            <w:r>
              <w:rPr>
                <w:noProof/>
              </w:rPr>
              <w:fldChar w:fldCharType="end"/>
            </w:r>
          </w:hyperlink>
        </w:p>
        <w:p w14:paraId="41EDBB69" w14:textId="4B9A95D5" w:rsidR="0032767E" w:rsidRDefault="0032767E">
          <w:pPr>
            <w:pStyle w:val="TOC3"/>
            <w:tabs>
              <w:tab w:val="right" w:leader="dot" w:pos="10070"/>
            </w:tabs>
            <w:rPr>
              <w:rFonts w:asciiTheme="minorHAnsi" w:eastAsiaTheme="minorEastAsia" w:hAnsiTheme="minorHAnsi" w:cstheme="minorBidi"/>
              <w:noProof/>
              <w:sz w:val="22"/>
              <w:szCs w:val="22"/>
            </w:rPr>
          </w:pPr>
          <w:hyperlink w:anchor="_Toc236834019" w:history="1">
            <w:r w:rsidRPr="00861BC7">
              <w:rPr>
                <w:rStyle w:val="Hyperlink"/>
                <w:noProof/>
              </w:rPr>
              <w:t>Customer acquisition</w:t>
            </w:r>
            <w:r>
              <w:rPr>
                <w:noProof/>
              </w:rPr>
              <w:tab/>
            </w:r>
            <w:r>
              <w:rPr>
                <w:noProof/>
              </w:rPr>
              <w:fldChar w:fldCharType="begin"/>
            </w:r>
            <w:r>
              <w:rPr>
                <w:noProof/>
              </w:rPr>
              <w:instrText xml:space="preserve"> PAGEREF _Toc236834019 \h </w:instrText>
            </w:r>
            <w:r>
              <w:rPr>
                <w:noProof/>
              </w:rPr>
            </w:r>
            <w:r>
              <w:rPr>
                <w:noProof/>
              </w:rPr>
              <w:fldChar w:fldCharType="separate"/>
            </w:r>
            <w:r>
              <w:rPr>
                <w:noProof/>
              </w:rPr>
              <w:t>11</w:t>
            </w:r>
            <w:r>
              <w:rPr>
                <w:noProof/>
              </w:rPr>
              <w:fldChar w:fldCharType="end"/>
            </w:r>
          </w:hyperlink>
        </w:p>
        <w:p w14:paraId="583B77CC" w14:textId="3FB89214" w:rsidR="0032767E" w:rsidRDefault="0032767E">
          <w:pPr>
            <w:pStyle w:val="TOC3"/>
            <w:tabs>
              <w:tab w:val="right" w:leader="dot" w:pos="10070"/>
            </w:tabs>
            <w:rPr>
              <w:rFonts w:asciiTheme="minorHAnsi" w:eastAsiaTheme="minorEastAsia" w:hAnsiTheme="minorHAnsi" w:cstheme="minorBidi"/>
              <w:noProof/>
              <w:sz w:val="22"/>
              <w:szCs w:val="22"/>
            </w:rPr>
          </w:pPr>
          <w:hyperlink w:anchor="_Toc236834020" w:history="1">
            <w:r w:rsidRPr="00861BC7">
              <w:rPr>
                <w:rStyle w:val="Hyperlink"/>
                <w:noProof/>
              </w:rPr>
              <w:t>Merchant acquisition</w:t>
            </w:r>
            <w:r>
              <w:rPr>
                <w:noProof/>
              </w:rPr>
              <w:tab/>
            </w:r>
            <w:r>
              <w:rPr>
                <w:noProof/>
              </w:rPr>
              <w:fldChar w:fldCharType="begin"/>
            </w:r>
            <w:r>
              <w:rPr>
                <w:noProof/>
              </w:rPr>
              <w:instrText xml:space="preserve"> PAGEREF _Toc236834020 \h </w:instrText>
            </w:r>
            <w:r>
              <w:rPr>
                <w:noProof/>
              </w:rPr>
            </w:r>
            <w:r>
              <w:rPr>
                <w:noProof/>
              </w:rPr>
              <w:fldChar w:fldCharType="separate"/>
            </w:r>
            <w:r>
              <w:rPr>
                <w:noProof/>
              </w:rPr>
              <w:t>11</w:t>
            </w:r>
            <w:r>
              <w:rPr>
                <w:noProof/>
              </w:rPr>
              <w:fldChar w:fldCharType="end"/>
            </w:r>
          </w:hyperlink>
        </w:p>
        <w:p w14:paraId="7C6F9FFA" w14:textId="3585DC0B" w:rsidR="0032767E" w:rsidRDefault="0032767E">
          <w:pPr>
            <w:pStyle w:val="TOC3"/>
            <w:tabs>
              <w:tab w:val="right" w:leader="dot" w:pos="10070"/>
            </w:tabs>
            <w:rPr>
              <w:rFonts w:asciiTheme="minorHAnsi" w:eastAsiaTheme="minorEastAsia" w:hAnsiTheme="minorHAnsi" w:cstheme="minorBidi"/>
              <w:noProof/>
              <w:sz w:val="22"/>
              <w:szCs w:val="22"/>
            </w:rPr>
          </w:pPr>
          <w:hyperlink w:anchor="_Toc236834021" w:history="1">
            <w:r w:rsidRPr="00861BC7">
              <w:rPr>
                <w:rStyle w:val="Hyperlink"/>
                <w:noProof/>
              </w:rPr>
              <w:t>Digital ecosystem partnerships</w:t>
            </w:r>
            <w:r>
              <w:rPr>
                <w:noProof/>
              </w:rPr>
              <w:tab/>
            </w:r>
            <w:r>
              <w:rPr>
                <w:noProof/>
              </w:rPr>
              <w:fldChar w:fldCharType="begin"/>
            </w:r>
            <w:r>
              <w:rPr>
                <w:noProof/>
              </w:rPr>
              <w:instrText xml:space="preserve"> PAGEREF _Toc236834021 \h </w:instrText>
            </w:r>
            <w:r>
              <w:rPr>
                <w:noProof/>
              </w:rPr>
            </w:r>
            <w:r>
              <w:rPr>
                <w:noProof/>
              </w:rPr>
              <w:fldChar w:fldCharType="separate"/>
            </w:r>
            <w:r>
              <w:rPr>
                <w:noProof/>
              </w:rPr>
              <w:t>11</w:t>
            </w:r>
            <w:r>
              <w:rPr>
                <w:noProof/>
              </w:rPr>
              <w:fldChar w:fldCharType="end"/>
            </w:r>
          </w:hyperlink>
        </w:p>
        <w:p w14:paraId="615935FA" w14:textId="462803F2" w:rsidR="0032767E" w:rsidRDefault="0032767E">
          <w:pPr>
            <w:pStyle w:val="TOC3"/>
            <w:tabs>
              <w:tab w:val="right" w:leader="dot" w:pos="10070"/>
            </w:tabs>
            <w:rPr>
              <w:rFonts w:asciiTheme="minorHAnsi" w:eastAsiaTheme="minorEastAsia" w:hAnsiTheme="minorHAnsi" w:cstheme="minorBidi"/>
              <w:noProof/>
              <w:sz w:val="22"/>
              <w:szCs w:val="22"/>
            </w:rPr>
          </w:pPr>
          <w:hyperlink w:anchor="_Toc236834022" w:history="1">
            <w:r w:rsidRPr="00861BC7">
              <w:rPr>
                <w:rStyle w:val="Hyperlink"/>
                <w:noProof/>
              </w:rPr>
              <w:t>Telecom integration opportunities</w:t>
            </w:r>
            <w:r>
              <w:rPr>
                <w:noProof/>
              </w:rPr>
              <w:tab/>
            </w:r>
            <w:r>
              <w:rPr>
                <w:noProof/>
              </w:rPr>
              <w:fldChar w:fldCharType="begin"/>
            </w:r>
            <w:r>
              <w:rPr>
                <w:noProof/>
              </w:rPr>
              <w:instrText xml:space="preserve"> PAGEREF _Toc236834022 \h </w:instrText>
            </w:r>
            <w:r>
              <w:rPr>
                <w:noProof/>
              </w:rPr>
            </w:r>
            <w:r>
              <w:rPr>
                <w:noProof/>
              </w:rPr>
              <w:fldChar w:fldCharType="separate"/>
            </w:r>
            <w:r>
              <w:rPr>
                <w:noProof/>
              </w:rPr>
              <w:t>11</w:t>
            </w:r>
            <w:r>
              <w:rPr>
                <w:noProof/>
              </w:rPr>
              <w:fldChar w:fldCharType="end"/>
            </w:r>
          </w:hyperlink>
        </w:p>
        <w:p w14:paraId="367890E9" w14:textId="035DA4E4" w:rsidR="0032767E" w:rsidRDefault="0032767E">
          <w:pPr>
            <w:pStyle w:val="TOC3"/>
            <w:tabs>
              <w:tab w:val="right" w:leader="dot" w:pos="10070"/>
            </w:tabs>
            <w:rPr>
              <w:rFonts w:asciiTheme="minorHAnsi" w:eastAsiaTheme="minorEastAsia" w:hAnsiTheme="minorHAnsi" w:cstheme="minorBidi"/>
              <w:noProof/>
              <w:sz w:val="22"/>
              <w:szCs w:val="22"/>
            </w:rPr>
          </w:pPr>
          <w:hyperlink w:anchor="_Toc236834023" w:history="1">
            <w:r w:rsidRPr="00861BC7">
              <w:rPr>
                <w:rStyle w:val="Hyperlink"/>
                <w:noProof/>
              </w:rPr>
              <w:t>Loyalty strategy</w:t>
            </w:r>
            <w:r>
              <w:rPr>
                <w:noProof/>
              </w:rPr>
              <w:tab/>
            </w:r>
            <w:r>
              <w:rPr>
                <w:noProof/>
              </w:rPr>
              <w:fldChar w:fldCharType="begin"/>
            </w:r>
            <w:r>
              <w:rPr>
                <w:noProof/>
              </w:rPr>
              <w:instrText xml:space="preserve"> PAGEREF _Toc236834023 \h </w:instrText>
            </w:r>
            <w:r>
              <w:rPr>
                <w:noProof/>
              </w:rPr>
            </w:r>
            <w:r>
              <w:rPr>
                <w:noProof/>
              </w:rPr>
              <w:fldChar w:fldCharType="separate"/>
            </w:r>
            <w:r>
              <w:rPr>
                <w:noProof/>
              </w:rPr>
              <w:t>11</w:t>
            </w:r>
            <w:r>
              <w:rPr>
                <w:noProof/>
              </w:rPr>
              <w:fldChar w:fldCharType="end"/>
            </w:r>
          </w:hyperlink>
        </w:p>
        <w:p w14:paraId="4A5C135C" w14:textId="49BBE1D0" w:rsidR="0032767E" w:rsidRDefault="0032767E">
          <w:pPr>
            <w:pStyle w:val="TOC3"/>
            <w:tabs>
              <w:tab w:val="right" w:leader="dot" w:pos="10070"/>
            </w:tabs>
            <w:rPr>
              <w:rFonts w:asciiTheme="minorHAnsi" w:eastAsiaTheme="minorEastAsia" w:hAnsiTheme="minorHAnsi" w:cstheme="minorBidi"/>
              <w:noProof/>
              <w:sz w:val="22"/>
              <w:szCs w:val="22"/>
            </w:rPr>
          </w:pPr>
          <w:hyperlink w:anchor="_Toc236834024" w:history="1">
            <w:r w:rsidRPr="00861BC7">
              <w:rPr>
                <w:rStyle w:val="Hyperlink"/>
                <w:noProof/>
              </w:rPr>
              <w:t>SME opportunities</w:t>
            </w:r>
            <w:r>
              <w:rPr>
                <w:noProof/>
              </w:rPr>
              <w:tab/>
            </w:r>
            <w:r>
              <w:rPr>
                <w:noProof/>
              </w:rPr>
              <w:fldChar w:fldCharType="begin"/>
            </w:r>
            <w:r>
              <w:rPr>
                <w:noProof/>
              </w:rPr>
              <w:instrText xml:space="preserve"> PAGEREF _Toc236834024 \h </w:instrText>
            </w:r>
            <w:r>
              <w:rPr>
                <w:noProof/>
              </w:rPr>
            </w:r>
            <w:r>
              <w:rPr>
                <w:noProof/>
              </w:rPr>
              <w:fldChar w:fldCharType="separate"/>
            </w:r>
            <w:r>
              <w:rPr>
                <w:noProof/>
              </w:rPr>
              <w:t>11</w:t>
            </w:r>
            <w:r>
              <w:rPr>
                <w:noProof/>
              </w:rPr>
              <w:fldChar w:fldCharType="end"/>
            </w:r>
          </w:hyperlink>
        </w:p>
        <w:p w14:paraId="495F8CA9" w14:textId="0E983111" w:rsidR="0032767E" w:rsidRDefault="0032767E">
          <w:pPr>
            <w:pStyle w:val="TOC3"/>
            <w:tabs>
              <w:tab w:val="right" w:leader="dot" w:pos="10070"/>
            </w:tabs>
            <w:rPr>
              <w:rFonts w:asciiTheme="minorHAnsi" w:eastAsiaTheme="minorEastAsia" w:hAnsiTheme="minorHAnsi" w:cstheme="minorBidi"/>
              <w:noProof/>
              <w:sz w:val="22"/>
              <w:szCs w:val="22"/>
            </w:rPr>
          </w:pPr>
          <w:hyperlink w:anchor="_Toc236834025" w:history="1">
            <w:r w:rsidRPr="00861BC7">
              <w:rPr>
                <w:rStyle w:val="Hyperlink"/>
                <w:noProof/>
              </w:rPr>
              <w:t>Data-driven personalization</w:t>
            </w:r>
            <w:r>
              <w:rPr>
                <w:noProof/>
              </w:rPr>
              <w:tab/>
            </w:r>
            <w:r>
              <w:rPr>
                <w:noProof/>
              </w:rPr>
              <w:fldChar w:fldCharType="begin"/>
            </w:r>
            <w:r>
              <w:rPr>
                <w:noProof/>
              </w:rPr>
              <w:instrText xml:space="preserve"> PAGEREF _Toc236834025 \h </w:instrText>
            </w:r>
            <w:r>
              <w:rPr>
                <w:noProof/>
              </w:rPr>
            </w:r>
            <w:r>
              <w:rPr>
                <w:noProof/>
              </w:rPr>
              <w:fldChar w:fldCharType="separate"/>
            </w:r>
            <w:r>
              <w:rPr>
                <w:noProof/>
              </w:rPr>
              <w:t>12</w:t>
            </w:r>
            <w:r>
              <w:rPr>
                <w:noProof/>
              </w:rPr>
              <w:fldChar w:fldCharType="end"/>
            </w:r>
          </w:hyperlink>
        </w:p>
        <w:p w14:paraId="71A3F9DF" w14:textId="22C3CB86" w:rsidR="0032767E" w:rsidRDefault="0032767E">
          <w:pPr>
            <w:pStyle w:val="TOC3"/>
            <w:tabs>
              <w:tab w:val="right" w:leader="dot" w:pos="10070"/>
            </w:tabs>
            <w:rPr>
              <w:rFonts w:asciiTheme="minorHAnsi" w:eastAsiaTheme="minorEastAsia" w:hAnsiTheme="minorHAnsi" w:cstheme="minorBidi"/>
              <w:noProof/>
              <w:sz w:val="22"/>
              <w:szCs w:val="22"/>
            </w:rPr>
          </w:pPr>
          <w:hyperlink w:anchor="_Toc236834026" w:history="1">
            <w:r w:rsidRPr="00861BC7">
              <w:rPr>
                <w:rStyle w:val="Hyperlink"/>
                <w:noProof/>
              </w:rPr>
              <w:t>Cross-selling concepts</w:t>
            </w:r>
            <w:r>
              <w:rPr>
                <w:noProof/>
              </w:rPr>
              <w:tab/>
            </w:r>
            <w:r>
              <w:rPr>
                <w:noProof/>
              </w:rPr>
              <w:fldChar w:fldCharType="begin"/>
            </w:r>
            <w:r>
              <w:rPr>
                <w:noProof/>
              </w:rPr>
              <w:instrText xml:space="preserve"> PAGEREF _Toc236834026 \h </w:instrText>
            </w:r>
            <w:r>
              <w:rPr>
                <w:noProof/>
              </w:rPr>
            </w:r>
            <w:r>
              <w:rPr>
                <w:noProof/>
              </w:rPr>
              <w:fldChar w:fldCharType="separate"/>
            </w:r>
            <w:r>
              <w:rPr>
                <w:noProof/>
              </w:rPr>
              <w:t>12</w:t>
            </w:r>
            <w:r>
              <w:rPr>
                <w:noProof/>
              </w:rPr>
              <w:fldChar w:fldCharType="end"/>
            </w:r>
          </w:hyperlink>
        </w:p>
        <w:p w14:paraId="3AB5CEFB" w14:textId="638BBE99"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27" w:history="1">
            <w:r w:rsidRPr="00861BC7">
              <w:rPr>
                <w:rStyle w:val="Hyperlink"/>
                <w:noProof/>
              </w:rPr>
              <w:t>4.2 Prioritization: Impact vs. Implementation Complexity</w:t>
            </w:r>
            <w:r>
              <w:rPr>
                <w:noProof/>
              </w:rPr>
              <w:tab/>
            </w:r>
            <w:r>
              <w:rPr>
                <w:noProof/>
              </w:rPr>
              <w:fldChar w:fldCharType="begin"/>
            </w:r>
            <w:r>
              <w:rPr>
                <w:noProof/>
              </w:rPr>
              <w:instrText xml:space="preserve"> PAGEREF _Toc236834027 \h </w:instrText>
            </w:r>
            <w:r>
              <w:rPr>
                <w:noProof/>
              </w:rPr>
            </w:r>
            <w:r>
              <w:rPr>
                <w:noProof/>
              </w:rPr>
              <w:fldChar w:fldCharType="separate"/>
            </w:r>
            <w:r>
              <w:rPr>
                <w:noProof/>
              </w:rPr>
              <w:t>12</w:t>
            </w:r>
            <w:r>
              <w:rPr>
                <w:noProof/>
              </w:rPr>
              <w:fldChar w:fldCharType="end"/>
            </w:r>
          </w:hyperlink>
        </w:p>
        <w:p w14:paraId="6BD24D78" w14:textId="7E38DD74" w:rsidR="0032767E" w:rsidRDefault="0032767E">
          <w:pPr>
            <w:pStyle w:val="TOC1"/>
            <w:tabs>
              <w:tab w:val="right" w:leader="dot" w:pos="10070"/>
            </w:tabs>
            <w:rPr>
              <w:rFonts w:asciiTheme="minorHAnsi" w:eastAsiaTheme="minorEastAsia" w:hAnsiTheme="minorHAnsi" w:cstheme="minorBidi"/>
              <w:noProof/>
              <w:sz w:val="22"/>
              <w:szCs w:val="22"/>
            </w:rPr>
          </w:pPr>
          <w:hyperlink w:anchor="_Toc236834028" w:history="1">
            <w:r w:rsidRPr="00861BC7">
              <w:rPr>
                <w:rStyle w:val="Hyperlink"/>
                <w:noProof/>
              </w:rPr>
              <w:t>5. Conceptual Business Model</w:t>
            </w:r>
            <w:r>
              <w:rPr>
                <w:noProof/>
              </w:rPr>
              <w:tab/>
            </w:r>
            <w:r>
              <w:rPr>
                <w:noProof/>
              </w:rPr>
              <w:fldChar w:fldCharType="begin"/>
            </w:r>
            <w:r>
              <w:rPr>
                <w:noProof/>
              </w:rPr>
              <w:instrText xml:space="preserve"> PAGEREF _Toc236834028 \h </w:instrText>
            </w:r>
            <w:r>
              <w:rPr>
                <w:noProof/>
              </w:rPr>
            </w:r>
            <w:r>
              <w:rPr>
                <w:noProof/>
              </w:rPr>
              <w:fldChar w:fldCharType="separate"/>
            </w:r>
            <w:r>
              <w:rPr>
                <w:noProof/>
              </w:rPr>
              <w:t>13</w:t>
            </w:r>
            <w:r>
              <w:rPr>
                <w:noProof/>
              </w:rPr>
              <w:fldChar w:fldCharType="end"/>
            </w:r>
          </w:hyperlink>
        </w:p>
        <w:p w14:paraId="7DF2F012" w14:textId="3087BCB1"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29" w:history="1">
            <w:r w:rsidRPr="00861BC7">
              <w:rPr>
                <w:rStyle w:val="Hyperlink"/>
                <w:noProof/>
              </w:rPr>
              <w:t>5.1 Revenue streams</w:t>
            </w:r>
            <w:r>
              <w:rPr>
                <w:noProof/>
              </w:rPr>
              <w:tab/>
            </w:r>
            <w:r>
              <w:rPr>
                <w:noProof/>
              </w:rPr>
              <w:fldChar w:fldCharType="begin"/>
            </w:r>
            <w:r>
              <w:rPr>
                <w:noProof/>
              </w:rPr>
              <w:instrText xml:space="preserve"> PAGEREF _Toc236834029 \h </w:instrText>
            </w:r>
            <w:r>
              <w:rPr>
                <w:noProof/>
              </w:rPr>
            </w:r>
            <w:r>
              <w:rPr>
                <w:noProof/>
              </w:rPr>
              <w:fldChar w:fldCharType="separate"/>
            </w:r>
            <w:r>
              <w:rPr>
                <w:noProof/>
              </w:rPr>
              <w:t>13</w:t>
            </w:r>
            <w:r>
              <w:rPr>
                <w:noProof/>
              </w:rPr>
              <w:fldChar w:fldCharType="end"/>
            </w:r>
          </w:hyperlink>
        </w:p>
        <w:p w14:paraId="6BF0EFED" w14:textId="47E9CDBC"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30" w:history="1">
            <w:r w:rsidRPr="00861BC7">
              <w:rPr>
                <w:rStyle w:val="Hyperlink"/>
                <w:noProof/>
              </w:rPr>
              <w:t>5.2 Cost structure</w:t>
            </w:r>
            <w:r>
              <w:rPr>
                <w:noProof/>
              </w:rPr>
              <w:tab/>
            </w:r>
            <w:r>
              <w:rPr>
                <w:noProof/>
              </w:rPr>
              <w:fldChar w:fldCharType="begin"/>
            </w:r>
            <w:r>
              <w:rPr>
                <w:noProof/>
              </w:rPr>
              <w:instrText xml:space="preserve"> PAGEREF _Toc236834030 \h </w:instrText>
            </w:r>
            <w:r>
              <w:rPr>
                <w:noProof/>
              </w:rPr>
            </w:r>
            <w:r>
              <w:rPr>
                <w:noProof/>
              </w:rPr>
              <w:fldChar w:fldCharType="separate"/>
            </w:r>
            <w:r>
              <w:rPr>
                <w:noProof/>
              </w:rPr>
              <w:t>13</w:t>
            </w:r>
            <w:r>
              <w:rPr>
                <w:noProof/>
              </w:rPr>
              <w:fldChar w:fldCharType="end"/>
            </w:r>
          </w:hyperlink>
        </w:p>
        <w:p w14:paraId="15314E03" w14:textId="390FE23F"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31" w:history="1">
            <w:r w:rsidRPr="00861BC7">
              <w:rPr>
                <w:rStyle w:val="Hyperlink"/>
                <w:noProof/>
              </w:rPr>
              <w:t>5.3 Key partners, resources, and activities</w:t>
            </w:r>
            <w:r>
              <w:rPr>
                <w:noProof/>
              </w:rPr>
              <w:tab/>
            </w:r>
            <w:r>
              <w:rPr>
                <w:noProof/>
              </w:rPr>
              <w:fldChar w:fldCharType="begin"/>
            </w:r>
            <w:r>
              <w:rPr>
                <w:noProof/>
              </w:rPr>
              <w:instrText xml:space="preserve"> PAGEREF _Toc236834031 \h </w:instrText>
            </w:r>
            <w:r>
              <w:rPr>
                <w:noProof/>
              </w:rPr>
            </w:r>
            <w:r>
              <w:rPr>
                <w:noProof/>
              </w:rPr>
              <w:fldChar w:fldCharType="separate"/>
            </w:r>
            <w:r>
              <w:rPr>
                <w:noProof/>
              </w:rPr>
              <w:t>13</w:t>
            </w:r>
            <w:r>
              <w:rPr>
                <w:noProof/>
              </w:rPr>
              <w:fldChar w:fldCharType="end"/>
            </w:r>
          </w:hyperlink>
        </w:p>
        <w:p w14:paraId="1F8A86C2" w14:textId="0B86EEA3"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32" w:history="1">
            <w:r w:rsidRPr="00861BC7">
              <w:rPr>
                <w:rStyle w:val="Hyperlink"/>
                <w:noProof/>
              </w:rPr>
              <w:t>5.4 Key metrics</w:t>
            </w:r>
            <w:r>
              <w:rPr>
                <w:noProof/>
              </w:rPr>
              <w:tab/>
            </w:r>
            <w:r>
              <w:rPr>
                <w:noProof/>
              </w:rPr>
              <w:fldChar w:fldCharType="begin"/>
            </w:r>
            <w:r>
              <w:rPr>
                <w:noProof/>
              </w:rPr>
              <w:instrText xml:space="preserve"> PAGEREF _Toc236834032 \h </w:instrText>
            </w:r>
            <w:r>
              <w:rPr>
                <w:noProof/>
              </w:rPr>
            </w:r>
            <w:r>
              <w:rPr>
                <w:noProof/>
              </w:rPr>
              <w:fldChar w:fldCharType="separate"/>
            </w:r>
            <w:r>
              <w:rPr>
                <w:noProof/>
              </w:rPr>
              <w:t>14</w:t>
            </w:r>
            <w:r>
              <w:rPr>
                <w:noProof/>
              </w:rPr>
              <w:fldChar w:fldCharType="end"/>
            </w:r>
          </w:hyperlink>
        </w:p>
        <w:p w14:paraId="206086C3" w14:textId="13D9FEDC" w:rsidR="0032767E" w:rsidRDefault="0032767E">
          <w:pPr>
            <w:pStyle w:val="TOC1"/>
            <w:tabs>
              <w:tab w:val="right" w:leader="dot" w:pos="10070"/>
            </w:tabs>
            <w:rPr>
              <w:rFonts w:asciiTheme="minorHAnsi" w:eastAsiaTheme="minorEastAsia" w:hAnsiTheme="minorHAnsi" w:cstheme="minorBidi"/>
              <w:noProof/>
              <w:sz w:val="22"/>
              <w:szCs w:val="22"/>
            </w:rPr>
          </w:pPr>
          <w:hyperlink w:anchor="_Toc236834033" w:history="1">
            <w:r w:rsidRPr="00861BC7">
              <w:rPr>
                <w:rStyle w:val="Hyperlink"/>
                <w:noProof/>
              </w:rPr>
              <w:t>Phased Implementation Roadmap</w:t>
            </w:r>
            <w:r>
              <w:rPr>
                <w:noProof/>
              </w:rPr>
              <w:tab/>
            </w:r>
            <w:r>
              <w:rPr>
                <w:noProof/>
              </w:rPr>
              <w:fldChar w:fldCharType="begin"/>
            </w:r>
            <w:r>
              <w:rPr>
                <w:noProof/>
              </w:rPr>
              <w:instrText xml:space="preserve"> PAGEREF _Toc236834033 \h </w:instrText>
            </w:r>
            <w:r>
              <w:rPr>
                <w:noProof/>
              </w:rPr>
            </w:r>
            <w:r>
              <w:rPr>
                <w:noProof/>
              </w:rPr>
              <w:fldChar w:fldCharType="separate"/>
            </w:r>
            <w:r>
              <w:rPr>
                <w:noProof/>
              </w:rPr>
              <w:t>14</w:t>
            </w:r>
            <w:r>
              <w:rPr>
                <w:noProof/>
              </w:rPr>
              <w:fldChar w:fldCharType="end"/>
            </w:r>
          </w:hyperlink>
        </w:p>
        <w:p w14:paraId="321EA8DA" w14:textId="5538C2F6"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34" w:history="1">
            <w:r w:rsidRPr="00861BC7">
              <w:rPr>
                <w:rStyle w:val="Hyperlink"/>
                <w:noProof/>
              </w:rPr>
              <w:t>Phase 1 (0–6 months): Prove the Rail</w:t>
            </w:r>
            <w:r>
              <w:rPr>
                <w:noProof/>
              </w:rPr>
              <w:tab/>
            </w:r>
            <w:r>
              <w:rPr>
                <w:noProof/>
              </w:rPr>
              <w:fldChar w:fldCharType="begin"/>
            </w:r>
            <w:r>
              <w:rPr>
                <w:noProof/>
              </w:rPr>
              <w:instrText xml:space="preserve"> PAGEREF _Toc236834034 \h </w:instrText>
            </w:r>
            <w:r>
              <w:rPr>
                <w:noProof/>
              </w:rPr>
            </w:r>
            <w:r>
              <w:rPr>
                <w:noProof/>
              </w:rPr>
              <w:fldChar w:fldCharType="separate"/>
            </w:r>
            <w:r>
              <w:rPr>
                <w:noProof/>
              </w:rPr>
              <w:t>14</w:t>
            </w:r>
            <w:r>
              <w:rPr>
                <w:noProof/>
              </w:rPr>
              <w:fldChar w:fldCharType="end"/>
            </w:r>
          </w:hyperlink>
        </w:p>
        <w:p w14:paraId="5D408E02" w14:textId="7D037E5E"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35" w:history="1">
            <w:r w:rsidRPr="00861BC7">
              <w:rPr>
                <w:rStyle w:val="Hyperlink"/>
                <w:noProof/>
              </w:rPr>
              <w:t>Phase 2 (6–18 months): Scale the Network</w:t>
            </w:r>
            <w:r>
              <w:rPr>
                <w:noProof/>
              </w:rPr>
              <w:tab/>
            </w:r>
            <w:r>
              <w:rPr>
                <w:noProof/>
              </w:rPr>
              <w:fldChar w:fldCharType="begin"/>
            </w:r>
            <w:r>
              <w:rPr>
                <w:noProof/>
              </w:rPr>
              <w:instrText xml:space="preserve"> PAGEREF _Toc236834035 \h </w:instrText>
            </w:r>
            <w:r>
              <w:rPr>
                <w:noProof/>
              </w:rPr>
            </w:r>
            <w:r>
              <w:rPr>
                <w:noProof/>
              </w:rPr>
              <w:fldChar w:fldCharType="separate"/>
            </w:r>
            <w:r>
              <w:rPr>
                <w:noProof/>
              </w:rPr>
              <w:t>15</w:t>
            </w:r>
            <w:r>
              <w:rPr>
                <w:noProof/>
              </w:rPr>
              <w:fldChar w:fldCharType="end"/>
            </w:r>
          </w:hyperlink>
        </w:p>
        <w:p w14:paraId="1094C243" w14:textId="49B760A5"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36" w:history="1">
            <w:r w:rsidRPr="00861BC7">
              <w:rPr>
                <w:rStyle w:val="Hyperlink"/>
                <w:noProof/>
              </w:rPr>
              <w:t>Phase 3 (18–36 months): Compound the Ecosystem</w:t>
            </w:r>
            <w:r>
              <w:rPr>
                <w:noProof/>
              </w:rPr>
              <w:tab/>
            </w:r>
            <w:r>
              <w:rPr>
                <w:noProof/>
              </w:rPr>
              <w:fldChar w:fldCharType="begin"/>
            </w:r>
            <w:r>
              <w:rPr>
                <w:noProof/>
              </w:rPr>
              <w:instrText xml:space="preserve"> PAGEREF _Toc236834036 \h </w:instrText>
            </w:r>
            <w:r>
              <w:rPr>
                <w:noProof/>
              </w:rPr>
            </w:r>
            <w:r>
              <w:rPr>
                <w:noProof/>
              </w:rPr>
              <w:fldChar w:fldCharType="separate"/>
            </w:r>
            <w:r>
              <w:rPr>
                <w:noProof/>
              </w:rPr>
              <w:t>16</w:t>
            </w:r>
            <w:r>
              <w:rPr>
                <w:noProof/>
              </w:rPr>
              <w:fldChar w:fldCharType="end"/>
            </w:r>
          </w:hyperlink>
        </w:p>
        <w:p w14:paraId="35ED4E85" w14:textId="368D7168" w:rsidR="0032767E" w:rsidRDefault="0032767E">
          <w:pPr>
            <w:pStyle w:val="TOC2"/>
            <w:tabs>
              <w:tab w:val="right" w:leader="dot" w:pos="10070"/>
            </w:tabs>
            <w:rPr>
              <w:rFonts w:asciiTheme="minorHAnsi" w:eastAsiaTheme="minorEastAsia" w:hAnsiTheme="minorHAnsi" w:cstheme="minorBidi"/>
              <w:noProof/>
              <w:sz w:val="22"/>
              <w:szCs w:val="22"/>
            </w:rPr>
          </w:pPr>
          <w:hyperlink w:anchor="_Toc236834037" w:history="1">
            <w:r w:rsidRPr="00861BC7">
              <w:rPr>
                <w:rStyle w:val="Hyperlink"/>
                <w:noProof/>
              </w:rPr>
              <w:t>Cross-Phase Governance</w:t>
            </w:r>
            <w:r>
              <w:rPr>
                <w:noProof/>
              </w:rPr>
              <w:tab/>
            </w:r>
            <w:r>
              <w:rPr>
                <w:noProof/>
              </w:rPr>
              <w:fldChar w:fldCharType="begin"/>
            </w:r>
            <w:r>
              <w:rPr>
                <w:noProof/>
              </w:rPr>
              <w:instrText xml:space="preserve"> PAGEREF _Toc236834037 \h </w:instrText>
            </w:r>
            <w:r>
              <w:rPr>
                <w:noProof/>
              </w:rPr>
            </w:r>
            <w:r>
              <w:rPr>
                <w:noProof/>
              </w:rPr>
              <w:fldChar w:fldCharType="separate"/>
            </w:r>
            <w:r>
              <w:rPr>
                <w:noProof/>
              </w:rPr>
              <w:t>17</w:t>
            </w:r>
            <w:r>
              <w:rPr>
                <w:noProof/>
              </w:rPr>
              <w:fldChar w:fldCharType="end"/>
            </w:r>
          </w:hyperlink>
        </w:p>
        <w:p w14:paraId="6BEA1769" w14:textId="792C55C7" w:rsidR="0032767E" w:rsidRDefault="0032767E">
          <w:pPr>
            <w:pStyle w:val="TOC1"/>
            <w:tabs>
              <w:tab w:val="right" w:leader="dot" w:pos="10070"/>
            </w:tabs>
            <w:rPr>
              <w:rFonts w:asciiTheme="minorHAnsi" w:eastAsiaTheme="minorEastAsia" w:hAnsiTheme="minorHAnsi" w:cstheme="minorBidi"/>
              <w:noProof/>
              <w:sz w:val="22"/>
              <w:szCs w:val="22"/>
            </w:rPr>
          </w:pPr>
          <w:hyperlink w:anchor="_Toc236834038" w:history="1">
            <w:r w:rsidRPr="00861BC7">
              <w:rPr>
                <w:rStyle w:val="Hyperlink"/>
                <w:noProof/>
              </w:rPr>
              <w:t>Closing Note</w:t>
            </w:r>
            <w:r>
              <w:rPr>
                <w:noProof/>
              </w:rPr>
              <w:tab/>
            </w:r>
            <w:r>
              <w:rPr>
                <w:noProof/>
              </w:rPr>
              <w:fldChar w:fldCharType="begin"/>
            </w:r>
            <w:r>
              <w:rPr>
                <w:noProof/>
              </w:rPr>
              <w:instrText xml:space="preserve"> PAGEREF _Toc236834038 \h </w:instrText>
            </w:r>
            <w:r>
              <w:rPr>
                <w:noProof/>
              </w:rPr>
            </w:r>
            <w:r>
              <w:rPr>
                <w:noProof/>
              </w:rPr>
              <w:fldChar w:fldCharType="separate"/>
            </w:r>
            <w:r>
              <w:rPr>
                <w:noProof/>
              </w:rPr>
              <w:t>18</w:t>
            </w:r>
            <w:r>
              <w:rPr>
                <w:noProof/>
              </w:rPr>
              <w:fldChar w:fldCharType="end"/>
            </w:r>
          </w:hyperlink>
        </w:p>
        <w:p w14:paraId="59FE3387" w14:textId="0E9101D9" w:rsidR="00C601AB" w:rsidRDefault="001F3095">
          <w:r>
            <w:fldChar w:fldCharType="end"/>
          </w:r>
        </w:p>
      </w:sdtContent>
    </w:sdt>
    <w:p w14:paraId="080BB36A" w14:textId="759DE41D" w:rsidR="00C601AB" w:rsidRDefault="001F3095">
      <w:pPr>
        <w:pStyle w:val="Heading1"/>
      </w:pPr>
      <w:bookmarkStart w:id="2" w:name="_Toc236833997"/>
      <w:r>
        <w:t>0. Report Architecture &amp; Design Rationale</w:t>
      </w:r>
      <w:bookmarkEnd w:id="2"/>
    </w:p>
    <w:p w14:paraId="43EE962A" w14:textId="77777777" w:rsidR="00C601AB" w:rsidRDefault="001F3095">
      <w:pPr>
        <w:pBdr>
          <w:left w:val="single" w:sz="18" w:space="8" w:color="D85A30"/>
        </w:pBdr>
        <w:spacing w:after="220" w:line="300" w:lineRule="auto"/>
        <w:ind w:left="200"/>
      </w:pPr>
      <w:r>
        <w:rPr>
          <w:b/>
          <w:bCs/>
          <w:i/>
          <w:iCs/>
          <w:color w:val="1B2A4A"/>
        </w:rPr>
        <w:t xml:space="preserve">Governing thought: </w:t>
      </w:r>
      <w:r>
        <w:rPr>
          <w:i/>
          <w:iCs/>
          <w:color w:val="333333"/>
        </w:rPr>
        <w:t>Every section earns its page count by driving a decision. No descriptive filler — each page answers 'so what does leadership do differently because of this.'</w:t>
      </w:r>
    </w:p>
    <w:p w14:paraId="3303ACFD" w14:textId="77777777" w:rsidR="00C601AB" w:rsidRDefault="001F3095">
      <w:pPr>
        <w:spacing w:after="160" w:line="300" w:lineRule="auto"/>
      </w:pPr>
      <w:r>
        <w:t>This report is built to a ~20-page core-body discipline, with detailed appendices held separately so the board-facing narrative stays readable. The structure below reflects the sequence used throughout this document: market context and competitive reality first, strategic thesis and growth framework second, business model and financial case third, and implementation last.</w:t>
      </w:r>
    </w:p>
    <w:p w14:paraId="2F1036AF" w14:textId="77777777" w:rsidR="00C601AB" w:rsidRDefault="001F3095">
      <w:pPr>
        <w:spacing w:before="200" w:after="60"/>
        <w:jc w:val="center"/>
      </w:pPr>
      <w:r>
        <w:rPr>
          <w:noProof/>
        </w:rPr>
        <w:drawing>
          <wp:inline distT="0" distB="0" distL="0" distR="0" wp14:anchorId="7C345733" wp14:editId="7F02304A">
            <wp:extent cx="49530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971800"/>
                    </a:xfrm>
                    <a:prstGeom prst="rect">
                      <a:avLst/>
                    </a:prstGeom>
                  </pic:spPr>
                </pic:pic>
              </a:graphicData>
            </a:graphic>
          </wp:inline>
        </w:drawing>
      </w:r>
    </w:p>
    <w:p w14:paraId="1C0EAA13" w14:textId="77777777" w:rsidR="00C601AB" w:rsidRDefault="001F3095">
      <w:pPr>
        <w:spacing w:after="240"/>
        <w:jc w:val="center"/>
      </w:pPr>
      <w:r>
        <w:rPr>
          <w:i/>
          <w:iCs/>
          <w:color w:val="666666"/>
          <w:sz w:val="18"/>
          <w:szCs w:val="18"/>
        </w:rPr>
        <w:t>Exhibit 0.1 — Core report page budget by section</w:t>
      </w:r>
    </w:p>
    <w:p w14:paraId="799F4DDA" w14:textId="77777777" w:rsidR="00C601AB" w:rsidRDefault="001F3095">
      <w:pPr>
        <w:pStyle w:val="Heading2"/>
      </w:pPr>
      <w:bookmarkStart w:id="3" w:name="_Toc236833998"/>
      <w:r>
        <w:t>Frameworks used</w:t>
      </w:r>
      <w:bookmarkEnd w:id="3"/>
    </w:p>
    <w:p w14:paraId="6F7A91D0" w14:textId="77777777" w:rsidR="00C601AB" w:rsidRDefault="001F3095">
      <w:pPr>
        <w:spacing w:after="160" w:line="300" w:lineRule="auto"/>
      </w:pPr>
      <w:r>
        <w:t>McKinsey Three Horizons · Ansoff Matrix · Porter's Five Forces · TAM/SAM/SOM · asset-specific SWOT · capability heat-mapping · RACI governance · Business Model Canvas (adapted, two-sided) · Impact vs. Complexity prioritization · scenario-based sensitivity analysis.</w:t>
      </w:r>
    </w:p>
    <w:p w14:paraId="4C38CEE0" w14:textId="77777777" w:rsidR="00C601AB" w:rsidRDefault="001F3095">
      <w:r>
        <w:br w:type="page"/>
      </w:r>
    </w:p>
    <w:p w14:paraId="3A653A06" w14:textId="77777777" w:rsidR="00C601AB" w:rsidRDefault="001F3095">
      <w:pPr>
        <w:pStyle w:val="Heading1"/>
      </w:pPr>
      <w:bookmarkStart w:id="4" w:name="_Toc236833999"/>
      <w:r>
        <w:lastRenderedPageBreak/>
        <w:t>1. Executive Summary</w:t>
      </w:r>
      <w:bookmarkEnd w:id="4"/>
    </w:p>
    <w:p w14:paraId="586FB911" w14:textId="77777777" w:rsidR="00C601AB" w:rsidRDefault="001F3095">
      <w:pPr>
        <w:pBdr>
          <w:left w:val="single" w:sz="18" w:space="8" w:color="D85A30"/>
        </w:pBdr>
        <w:spacing w:after="220" w:line="300" w:lineRule="auto"/>
        <w:ind w:left="200"/>
      </w:pPr>
      <w:r>
        <w:rPr>
          <w:b/>
          <w:bCs/>
          <w:i/>
          <w:iCs/>
          <w:color w:val="1B2A4A"/>
        </w:rPr>
        <w:t xml:space="preserve">Governing thought: </w:t>
      </w:r>
      <w:r>
        <w:rPr>
          <w:i/>
          <w:iCs/>
          <w:color w:val="333333"/>
        </w:rPr>
        <w:t>NEO PSP should not be positioned as Banglalink's answer to bKash and Nagad. It should be positioned as the consolidator of Bangladesh's fragmented merchant-payments category — entered with distribution, capital, and technology advantages none of the nine existing PSP licensees have simultaneously.</w:t>
      </w:r>
    </w:p>
    <w:p w14:paraId="511BA68E" w14:textId="77777777" w:rsidR="00C601AB" w:rsidRDefault="001F3095">
      <w:pPr>
        <w:pStyle w:val="Heading2"/>
      </w:pPr>
      <w:bookmarkStart w:id="5" w:name="_Toc236834000"/>
      <w:r>
        <w:t>1.1 Strategic opportunity</w:t>
      </w:r>
      <w:bookmarkEnd w:id="5"/>
    </w:p>
    <w:p w14:paraId="2CD16636" w14:textId="77777777" w:rsidR="00C601AB" w:rsidRDefault="001F3095">
      <w:pPr>
        <w:spacing w:after="160" w:line="300" w:lineRule="auto"/>
      </w:pPr>
      <w:r>
        <w:t>Bangladesh's mobile financial services (MFS) market — bKash, Nagad, Rocket — is a settled duopoly-plus-one, moving roughly Tk 6,000 crore daily, with over 60% concentration in the top two players. It is not a market worth entering as a challenger. The Payment Service Provider (PSP) category — merchant acquiring, gateway processing, B2B and disbursement rails — is structurally different: nine licensed operators, none commanding decisive share. This is a fragmented, still-forming category, not a mature one.</w:t>
      </w:r>
    </w:p>
    <w:p w14:paraId="784AEA2C" w14:textId="77777777" w:rsidR="00C601AB" w:rsidRDefault="001F3095">
      <w:pPr>
        <w:spacing w:after="160" w:line="300" w:lineRule="auto"/>
      </w:pPr>
      <w:r>
        <w:t>NEO PSP enters with three assets no PSP incumbent holds simultaneously: a 41-million-plus Banglalink subscriber base for near-zero-cost acquisition, VEON's balance sheet for sustained investment, and a purpose-built platform (</w:t>
      </w:r>
      <w:proofErr w:type="spellStart"/>
      <w:r>
        <w:t>Mukto</w:t>
      </w:r>
      <w:proofErr w:type="spellEnd"/>
      <w:r>
        <w:t xml:space="preserve"> Pay, built with Huawei) rather than a legacy stack. Bangladesh Bank has already issued the NOC — the question is no longer whether to enter, but how fast and in what sequence to convert license into share.</w:t>
      </w:r>
    </w:p>
    <w:p w14:paraId="6D06A1E7" w14:textId="77777777" w:rsidR="00C601AB" w:rsidRDefault="001F3095">
      <w:pPr>
        <w:pStyle w:val="Heading2"/>
      </w:pPr>
      <w:bookmarkStart w:id="6" w:name="_Toc236834001"/>
      <w:r>
        <w:t>1.2 Market potential</w:t>
      </w:r>
      <w:bookmarkEnd w:id="6"/>
    </w:p>
    <w:p w14:paraId="327E07F1" w14:textId="213B4D46" w:rsidR="00C601AB" w:rsidRDefault="001F3095">
      <w:pPr>
        <w:spacing w:after="160" w:line="300" w:lineRule="auto"/>
      </w:pPr>
      <w:r>
        <w:rPr>
          <w:b/>
          <w:bCs/>
          <w:i/>
          <w:iCs/>
          <w:color w:val="D85A30"/>
        </w:rPr>
        <w:t xml:space="preserve">[ASSUMPTION — flagged, not fabricated] </w:t>
      </w:r>
      <w:r>
        <w:t>Public disclosures do not size the PSP-specific transaction pool separately from total MFS volume. Using Bangladesh Bank aggregate data and a conservative allocation of merchant/gateway-specific flows, we estimate the addressable PSP/merchant-payments pool as a meaningful and growing multi-billion-taka annual opportunity. Direction and order of magnitude — not the specific figures — should anchor the board's initial read; the full build is in Section 2.</w:t>
      </w:r>
    </w:p>
    <w:p w14:paraId="2803671E" w14:textId="77777777" w:rsidR="00C601AB" w:rsidRDefault="001F3095">
      <w:pPr>
        <w:spacing w:after="160" w:line="300" w:lineRule="auto"/>
      </w:pPr>
      <w:r>
        <w:t>The more important signal is compositional: merchant relationships in the PSP category are still being formed, unlike the MFS wallet layer where switching costs have already hardened. Share is winnable now in a way it will not be in three years.</w:t>
      </w:r>
    </w:p>
    <w:p w14:paraId="2597B714" w14:textId="77777777" w:rsidR="00C601AB" w:rsidRDefault="001F3095">
      <w:pPr>
        <w:pStyle w:val="Heading2"/>
      </w:pPr>
      <w:bookmarkStart w:id="7" w:name="_Toc236834002"/>
      <w:r>
        <w:t>1.3 Investment priorities</w:t>
      </w:r>
      <w:bookmarkEnd w:id="7"/>
    </w:p>
    <w:p w14:paraId="48573130" w14:textId="77777777" w:rsidR="00C601AB" w:rsidRDefault="001F3095">
      <w:pPr>
        <w:pStyle w:val="ListParagraph"/>
        <w:numPr>
          <w:ilvl w:val="0"/>
          <w:numId w:val="1"/>
        </w:numPr>
        <w:spacing w:after="100" w:line="290" w:lineRule="auto"/>
      </w:pPr>
      <w:r>
        <w:t>Merchant acquisition infrastructure — the highest-leverage investment; PSP economics are won or lost here, not in platform technology.</w:t>
      </w:r>
    </w:p>
    <w:p w14:paraId="5406DDBF" w14:textId="77777777" w:rsidR="00C601AB" w:rsidRDefault="001F3095">
      <w:pPr>
        <w:pStyle w:val="ListParagraph"/>
        <w:numPr>
          <w:ilvl w:val="0"/>
          <w:numId w:val="1"/>
        </w:numPr>
        <w:spacing w:after="100" w:line="290" w:lineRule="auto"/>
      </w:pPr>
      <w:r>
        <w:t>Core rail completion and reliability — instant transfers, bill payments, remittance, merchant settlement, built to institutional-grade uptime before wide commercial push.</w:t>
      </w:r>
    </w:p>
    <w:p w14:paraId="2675C407" w14:textId="77777777" w:rsidR="00C601AB" w:rsidRDefault="001F3095">
      <w:pPr>
        <w:pStyle w:val="ListParagraph"/>
        <w:numPr>
          <w:ilvl w:val="0"/>
          <w:numId w:val="1"/>
        </w:numPr>
        <w:spacing w:after="100" w:line="290" w:lineRule="auto"/>
      </w:pPr>
      <w:r>
        <w:t>Compliance and settlement-bank partnerships — the Bangladesh Bank relationship is an asset to protect, not a box to check.</w:t>
      </w:r>
    </w:p>
    <w:p w14:paraId="0EEDF9A4" w14:textId="77777777" w:rsidR="00C601AB" w:rsidRDefault="001F3095">
      <w:pPr>
        <w:spacing w:after="160" w:line="300" w:lineRule="auto"/>
      </w:pPr>
      <w:r>
        <w:t>Product breadth beyond this core (micro-savings, insurance, credit-adjacent services) should sequence into Horizon 3, not fund in parallel with launch — capital discipline in the first 18 months matters more than product completeness.</w:t>
      </w:r>
    </w:p>
    <w:p w14:paraId="318E9161" w14:textId="77777777" w:rsidR="0032767E" w:rsidRDefault="0032767E">
      <w:pPr>
        <w:rPr>
          <w:b/>
          <w:bCs/>
          <w:color w:val="D85A30"/>
          <w:sz w:val="26"/>
          <w:szCs w:val="26"/>
        </w:rPr>
      </w:pPr>
      <w:r>
        <w:br w:type="page"/>
      </w:r>
    </w:p>
    <w:p w14:paraId="5A8ECBCA" w14:textId="20B742E8" w:rsidR="00C601AB" w:rsidRDefault="001F3095">
      <w:pPr>
        <w:pStyle w:val="Heading2"/>
      </w:pPr>
      <w:bookmarkStart w:id="8" w:name="_Toc236834003"/>
      <w:r>
        <w:lastRenderedPageBreak/>
        <w:t>1.4 Expected outcomes</w:t>
      </w:r>
      <w:bookmarkEnd w:id="8"/>
    </w:p>
    <w:p w14:paraId="332CDB9A" w14:textId="77777777" w:rsidR="00C601AB" w:rsidRDefault="001F3095">
      <w:pPr>
        <w:spacing w:after="160" w:line="300" w:lineRule="auto"/>
      </w:pPr>
      <w:r>
        <w:t>The business case supports a 3-to-5-year path to profitability contingent on merchant and agent acquisition pace, with breakeven driven far more by transaction volume scale than by take-rate assumptions — distribution execution, not pricing, is the primary lever leadership should govern against. Non-financial outcomes matter equally: NEO PSP becomes tangible evidence of Banglalink's transition from connectivity provider to digital operator, consistent with the DO1440 strategic direction, and a potential template VEON could replicate across other operating markets.</w:t>
      </w:r>
    </w:p>
    <w:p w14:paraId="5AF166E7" w14:textId="77777777" w:rsidR="00C601AB" w:rsidRDefault="001F3095">
      <w:pPr>
        <w:pStyle w:val="Heading2"/>
      </w:pPr>
      <w:bookmarkStart w:id="9" w:name="_Toc236834004"/>
      <w:r>
        <w:t>1.5 Major risks</w:t>
      </w:r>
      <w:bookmarkEnd w:id="9"/>
    </w:p>
    <w:p w14:paraId="7A05A274" w14:textId="77777777" w:rsidR="00C601AB" w:rsidRDefault="001F3095">
      <w:pPr>
        <w:pStyle w:val="ListParagraph"/>
        <w:numPr>
          <w:ilvl w:val="0"/>
          <w:numId w:val="1"/>
        </w:numPr>
        <w:spacing w:after="100" w:line="290" w:lineRule="auto"/>
      </w:pPr>
      <w:r>
        <w:t>Regulatory pacing risk — any delay between NOC and full commercial launch compounds against faster-moving competitors (Robi, e-commerce-native applicants).</w:t>
      </w:r>
    </w:p>
    <w:p w14:paraId="4536239E" w14:textId="77777777" w:rsidR="00C601AB" w:rsidRDefault="001F3095">
      <w:pPr>
        <w:pStyle w:val="ListParagraph"/>
        <w:numPr>
          <w:ilvl w:val="0"/>
          <w:numId w:val="1"/>
        </w:numPr>
        <w:spacing w:after="100" w:line="290" w:lineRule="auto"/>
      </w:pPr>
      <w:r>
        <w:t>Execution risk, not technology risk — Huawei de-risks the platform; the real exposure is merchant acquisition velocity, a muscle Banglalink hasn't previously operated at this intensity.</w:t>
      </w:r>
    </w:p>
    <w:p w14:paraId="49013865" w14:textId="77777777" w:rsidR="00C601AB" w:rsidRDefault="001F3095">
      <w:pPr>
        <w:pStyle w:val="ListParagraph"/>
        <w:numPr>
          <w:ilvl w:val="0"/>
          <w:numId w:val="1"/>
        </w:numPr>
        <w:spacing w:after="100" w:line="290" w:lineRule="auto"/>
      </w:pPr>
      <w:r>
        <w:t>Incumbent response risk — bKash and Nagad have capital and motive to extend into merchant/gateway services defensively; a slow launch cedes the fragmentation window.</w:t>
      </w:r>
    </w:p>
    <w:p w14:paraId="4EDD45EB" w14:textId="77777777" w:rsidR="00C601AB" w:rsidRDefault="001F3095">
      <w:pPr>
        <w:pStyle w:val="Heading2"/>
      </w:pPr>
      <w:bookmarkStart w:id="10" w:name="_Toc236834005"/>
      <w:r>
        <w:t>1.6 Board recommendation</w:t>
      </w:r>
      <w:bookmarkEnd w:id="10"/>
    </w:p>
    <w:p w14:paraId="19D0304D" w14:textId="77777777" w:rsidR="00C601AB" w:rsidRDefault="001F3095">
      <w:pPr>
        <w:spacing w:after="160" w:line="300" w:lineRule="auto"/>
      </w:pPr>
      <w:r>
        <w:t>Approve NEO PSP as a funded strategic priority, not an incubated side project. Specifically: (</w:t>
      </w:r>
      <w:proofErr w:type="spellStart"/>
      <w:r>
        <w:t>i</w:t>
      </w:r>
      <w:proofErr w:type="spellEnd"/>
      <w:r>
        <w:t>) commit Horizon 1 funding to merchant acquisition and core-rail reliability ahead of product breadth, (ii) establish a dedicated steering committee cadence to compress decision latency during the competitive window, and (iii) mandate a 100-day post-approval execution plan so the NOC-to-launch gap does not become the constraint competitors exploit.</w:t>
      </w:r>
    </w:p>
    <w:p w14:paraId="62D9AAF9" w14:textId="77777777" w:rsidR="00C601AB" w:rsidRDefault="001F3095">
      <w:r>
        <w:br w:type="page"/>
      </w:r>
    </w:p>
    <w:p w14:paraId="53810AB7" w14:textId="77777777" w:rsidR="00C601AB" w:rsidRDefault="001F3095">
      <w:pPr>
        <w:pStyle w:val="Heading1"/>
      </w:pPr>
      <w:bookmarkStart w:id="11" w:name="_Toc236834006"/>
      <w:r>
        <w:lastRenderedPageBreak/>
        <w:t>2. Strategic Market Assessment</w:t>
      </w:r>
      <w:bookmarkEnd w:id="11"/>
    </w:p>
    <w:p w14:paraId="1884FCC7" w14:textId="77777777" w:rsidR="00C601AB" w:rsidRDefault="001F3095">
      <w:pPr>
        <w:pBdr>
          <w:left w:val="single" w:sz="18" w:space="8" w:color="D85A30"/>
        </w:pBdr>
        <w:spacing w:after="220" w:line="300" w:lineRule="auto"/>
        <w:ind w:left="200"/>
      </w:pPr>
      <w:r>
        <w:rPr>
          <w:b/>
          <w:bCs/>
          <w:i/>
          <w:iCs/>
          <w:color w:val="1B2A4A"/>
        </w:rPr>
        <w:t xml:space="preserve">Governing thought: </w:t>
      </w:r>
      <w:r>
        <w:rPr>
          <w:i/>
          <w:iCs/>
          <w:color w:val="333333"/>
        </w:rPr>
        <w:t>Bangladesh Bank's Bangla QR interoperability mandate (enforced from July 2026) collapses the closed-loop network advantage that let bKash's scale become a moat. A new PSP entrant no longer needs to win the wallet war to reach a merchant's customers — it needs to win the merchant relationship, and the interoperable rail does the rest.</w:t>
      </w:r>
    </w:p>
    <w:p w14:paraId="40E22028" w14:textId="77777777" w:rsidR="00C601AB" w:rsidRDefault="001F3095">
      <w:pPr>
        <w:pStyle w:val="Heading2"/>
      </w:pPr>
      <w:bookmarkStart w:id="12" w:name="_Toc236834007"/>
      <w:r>
        <w:t>2.1 Mobile Financial Services market</w:t>
      </w:r>
      <w:bookmarkEnd w:id="12"/>
    </w:p>
    <w:p w14:paraId="3DF86B68" w14:textId="77777777" w:rsidR="00C601AB" w:rsidRDefault="001F3095">
      <w:pPr>
        <w:spacing w:after="160" w:line="300" w:lineRule="auto"/>
      </w:pPr>
      <w:r>
        <w:t>bKash (~40%), Nagad (~18–25%), and Rocket (~12%) have converted first-mover advantage into a durable duopoly-plus-one at the consumer wallet layer. Switching costs, agent-network depth, and brand-as-category-name effects are now essentially locked in.</w:t>
      </w:r>
    </w:p>
    <w:p w14:paraId="7E3D5C8E" w14:textId="77777777" w:rsidR="00C601AB" w:rsidRDefault="001F3095">
      <w:pPr>
        <w:spacing w:before="200" w:after="60"/>
        <w:jc w:val="center"/>
      </w:pPr>
      <w:r>
        <w:rPr>
          <w:noProof/>
        </w:rPr>
        <w:drawing>
          <wp:inline distT="0" distB="0" distL="0" distR="0" wp14:anchorId="12039553" wp14:editId="2E84502B">
            <wp:extent cx="4572000" cy="2609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609850"/>
                    </a:xfrm>
                    <a:prstGeom prst="rect">
                      <a:avLst/>
                    </a:prstGeom>
                  </pic:spPr>
                </pic:pic>
              </a:graphicData>
            </a:graphic>
          </wp:inline>
        </w:drawing>
      </w:r>
    </w:p>
    <w:p w14:paraId="1314A362" w14:textId="77777777" w:rsidR="00C601AB" w:rsidRDefault="001F3095">
      <w:pPr>
        <w:spacing w:after="240"/>
        <w:jc w:val="center"/>
      </w:pPr>
      <w:r>
        <w:rPr>
          <w:i/>
          <w:iCs/>
          <w:color w:val="666666"/>
          <w:sz w:val="18"/>
          <w:szCs w:val="18"/>
        </w:rPr>
        <w:t>Exhibit 2.1 — Estimated MFS market share by transaction value</w:t>
      </w:r>
    </w:p>
    <w:p w14:paraId="19CC9A61" w14:textId="77777777" w:rsidR="00C601AB" w:rsidRDefault="001F3095">
      <w:pPr>
        <w:spacing w:after="160" w:line="300" w:lineRule="auto"/>
      </w:pPr>
      <w:r>
        <w:rPr>
          <w:b/>
          <w:bCs/>
        </w:rPr>
        <w:t xml:space="preserve">Strategic implication: </w:t>
      </w:r>
      <w:r>
        <w:t>Treat the MFS leaderboard as a boundary condition, not a target. NEO PSP's opportunity sits one layer up the stack, in merchant acceptance and processing, where interoperability neutralizes the wallet incumbents' scale advantage.</w:t>
      </w:r>
    </w:p>
    <w:p w14:paraId="594B426B" w14:textId="77777777" w:rsidR="00C601AB" w:rsidRDefault="001F3095">
      <w:pPr>
        <w:pStyle w:val="Heading2"/>
      </w:pPr>
      <w:bookmarkStart w:id="13" w:name="_Toc236834008"/>
      <w:r>
        <w:t>2.2 Digital payment adoption</w:t>
      </w:r>
      <w:bookmarkEnd w:id="13"/>
    </w:p>
    <w:p w14:paraId="373FF224" w14:textId="77777777" w:rsidR="00C601AB" w:rsidRDefault="001F3095">
      <w:pPr>
        <w:spacing w:after="160" w:line="300" w:lineRule="auto"/>
      </w:pPr>
      <w:r>
        <w:t>Bangla QR is now compulsory for all banks, MFS providers, PSPs, and PSOs, live nationally from July 1, 2026, with a centrally set minimum merchant discount rate (MDR) of 1%. Every participating institution's QR now works with every other's app — a rare case of regulation directly subsidizing a new entrant's reach.</w:t>
      </w:r>
    </w:p>
    <w:p w14:paraId="2B391ECE" w14:textId="77777777" w:rsidR="00C601AB" w:rsidRDefault="001F3095">
      <w:pPr>
        <w:spacing w:before="200" w:after="60"/>
        <w:jc w:val="center"/>
      </w:pPr>
      <w:r>
        <w:rPr>
          <w:noProof/>
        </w:rPr>
        <w:lastRenderedPageBreak/>
        <w:drawing>
          <wp:inline distT="0" distB="0" distL="0" distR="0" wp14:anchorId="2504523F" wp14:editId="31D3FF73">
            <wp:extent cx="4572000" cy="1924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1924050"/>
                    </a:xfrm>
                    <a:prstGeom prst="rect">
                      <a:avLst/>
                    </a:prstGeom>
                  </pic:spPr>
                </pic:pic>
              </a:graphicData>
            </a:graphic>
          </wp:inline>
        </w:drawing>
      </w:r>
    </w:p>
    <w:p w14:paraId="495F8280" w14:textId="77777777" w:rsidR="00C601AB" w:rsidRDefault="001F3095">
      <w:pPr>
        <w:spacing w:after="240"/>
        <w:jc w:val="center"/>
      </w:pPr>
      <w:r>
        <w:rPr>
          <w:i/>
          <w:iCs/>
          <w:color w:val="666666"/>
          <w:sz w:val="18"/>
          <w:szCs w:val="18"/>
        </w:rPr>
        <w:t>Exhibit 2.2 — TAM / SAM / SOM funnel for the PSP-addressable pool</w:t>
      </w:r>
    </w:p>
    <w:p w14:paraId="701E5525" w14:textId="77777777" w:rsidR="00C601AB" w:rsidRDefault="001F3095">
      <w:pPr>
        <w:spacing w:after="160" w:line="300" w:lineRule="auto"/>
      </w:pPr>
      <w:r>
        <w:rPr>
          <w:b/>
          <w:bCs/>
        </w:rPr>
        <w:t xml:space="preserve">Strategic implication: </w:t>
      </w:r>
      <w:r>
        <w:t>Compete on merchant onboarding speed and settlement reliability, not proprietary QR footprint — that question has been solved by the regulator.</w:t>
      </w:r>
    </w:p>
    <w:p w14:paraId="56B554D1" w14:textId="77777777" w:rsidR="00C601AB" w:rsidRDefault="001F3095">
      <w:pPr>
        <w:pStyle w:val="Heading2"/>
      </w:pPr>
      <w:bookmarkStart w:id="14" w:name="_Toc236834009"/>
      <w:r>
        <w:t>2.3 Merchant digitization</w:t>
      </w:r>
      <w:bookmarkEnd w:id="14"/>
    </w:p>
    <w:p w14:paraId="0583B0D1" w14:textId="77777777" w:rsidR="00C601AB" w:rsidRDefault="001F3095">
      <w:pPr>
        <w:spacing w:after="160" w:line="300" w:lineRule="auto"/>
      </w:pPr>
      <w:r>
        <w:t>Despite the mandate, adoption lags: Bangla QR ecosystem participation grew slowly (49 stakeholders by FY25 vs. 41 the year prior, against a far larger eligible base). Small merchants resist due to MDR fee sensitivity, incomplete practical interoperability, and low digital literacy.</w:t>
      </w:r>
    </w:p>
    <w:p w14:paraId="28230211" w14:textId="77777777" w:rsidR="00C601AB" w:rsidRDefault="001F3095">
      <w:pPr>
        <w:spacing w:after="160" w:line="300" w:lineRule="auto"/>
      </w:pPr>
      <w:r>
        <w:rPr>
          <w:b/>
          <w:bCs/>
        </w:rPr>
        <w:t xml:space="preserve">Strategic implication: </w:t>
      </w:r>
      <w:r>
        <w:t>Merchant acquisition — not consumer marketing — is where Horizon 1 capital should concentrate. A merchant-first go-to-market bundled with Banglalink's existing SME/enterprise relationships is a genuine structural advantage.</w:t>
      </w:r>
    </w:p>
    <w:p w14:paraId="62130C3B" w14:textId="77777777" w:rsidR="00C601AB" w:rsidRDefault="001F3095">
      <w:pPr>
        <w:pStyle w:val="Heading2"/>
      </w:pPr>
      <w:bookmarkStart w:id="15" w:name="_Toc236834010"/>
      <w:r>
        <w:t xml:space="preserve">2.4 Consumer </w:t>
      </w:r>
      <w:proofErr w:type="spellStart"/>
      <w:r>
        <w:t>behaviour</w:t>
      </w:r>
      <w:bookmarkEnd w:id="15"/>
      <w:proofErr w:type="spellEnd"/>
    </w:p>
    <w:p w14:paraId="0FC92D45" w14:textId="77777777" w:rsidR="00C601AB" w:rsidRDefault="001F3095">
      <w:pPr>
        <w:spacing w:after="160" w:line="300" w:lineRule="auto"/>
      </w:pPr>
      <w:r>
        <w:t>Cash still dominates day-to-day transactions despite 186M+ mobile connections. Adoption barriers are consistent: affordability, low digital/financial literacy, and a stark gender gap (19% of women vs. 36% of men access mobile data nationally). Rural users are markedly less likely to access mobile internet than urban counterparts.</w:t>
      </w:r>
    </w:p>
    <w:p w14:paraId="33DA70E1" w14:textId="77777777" w:rsidR="00C601AB" w:rsidRDefault="001F3095">
      <w:pPr>
        <w:spacing w:after="160" w:line="300" w:lineRule="auto"/>
      </w:pPr>
      <w:r>
        <w:rPr>
          <w:b/>
          <w:bCs/>
        </w:rPr>
        <w:t xml:space="preserve">Strategic implication: </w:t>
      </w:r>
      <w:r>
        <w:t>Product design should assume low-trust, low-literacy, intermittent-connectivity users as the base case. This should feed directly into the Customer Journey Maps deliverable (offline-tolerant confirmation, vernacular UX, agent-assisted onboarding).</w:t>
      </w:r>
    </w:p>
    <w:p w14:paraId="5E294625" w14:textId="77777777" w:rsidR="00C601AB" w:rsidRDefault="001F3095">
      <w:pPr>
        <w:pStyle w:val="Heading2"/>
      </w:pPr>
      <w:bookmarkStart w:id="16" w:name="_Toc236834011"/>
      <w:r>
        <w:t>2.5 Smartphone &amp; internet penetration</w:t>
      </w:r>
      <w:bookmarkEnd w:id="16"/>
    </w:p>
    <w:p w14:paraId="7074F48C" w14:textId="77777777" w:rsidR="00C601AB" w:rsidRDefault="001F3095">
      <w:pPr>
        <w:spacing w:after="160" w:line="300" w:lineRule="auto"/>
      </w:pPr>
      <w:r>
        <w:t>Bangladesh sits at near-universal mobile phone household access (98.9%) and roughly 71% mobile-device share of internet traffic — among the highest mobile-leapfrogging rates globally. Internet penetration itself (47–53% depending on methodology) still trails regional peers like Bhutan and the Maldives.</w:t>
      </w:r>
    </w:p>
    <w:p w14:paraId="51D68968" w14:textId="77777777" w:rsidR="00C601AB" w:rsidRDefault="001F3095">
      <w:pPr>
        <w:spacing w:after="160" w:line="300" w:lineRule="auto"/>
      </w:pPr>
      <w:r>
        <w:rPr>
          <w:b/>
          <w:bCs/>
        </w:rPr>
        <w:t xml:space="preserve">Strategic implication: </w:t>
      </w:r>
      <w:r>
        <w:t>The device layer is not the constraint — behavior, trust, and literacy are. Rising smartphone penetration alone will not drive adoption; active trust-building is required.</w:t>
      </w:r>
    </w:p>
    <w:p w14:paraId="2E624003" w14:textId="77777777" w:rsidR="00C601AB" w:rsidRDefault="001F3095">
      <w:pPr>
        <w:pStyle w:val="Heading2"/>
      </w:pPr>
      <w:bookmarkStart w:id="17" w:name="_Toc236834012"/>
      <w:r>
        <w:t>2.6 Regulatory environment</w:t>
      </w:r>
      <w:bookmarkEnd w:id="17"/>
    </w:p>
    <w:p w14:paraId="0A3E75C8" w14:textId="77777777" w:rsidR="00C601AB" w:rsidRDefault="001F3095">
      <w:pPr>
        <w:spacing w:after="160" w:line="300" w:lineRule="auto"/>
      </w:pPr>
      <w:r>
        <w:lastRenderedPageBreak/>
        <w:t>Three developments matter most: the Payment and Settlement Systems Act 2024 (a modernized statutory basis for PSP/PSO licensing), the Bangla QR interoperability mandate, and Bangladesh Bank's open banking / Payment Initiation Services (PIS) target for mid-2026, which would allow account-to-account payment initiation without custody of funds.</w:t>
      </w:r>
    </w:p>
    <w:p w14:paraId="19392019" w14:textId="77777777" w:rsidR="00C601AB" w:rsidRDefault="001F3095">
      <w:pPr>
        <w:spacing w:before="200" w:after="60"/>
        <w:jc w:val="center"/>
      </w:pPr>
      <w:r>
        <w:rPr>
          <w:noProof/>
        </w:rPr>
        <w:drawing>
          <wp:inline distT="0" distB="0" distL="0" distR="0" wp14:anchorId="2CFB99F9" wp14:editId="4B4EABF7">
            <wp:extent cx="4953000" cy="1981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981200"/>
                    </a:xfrm>
                    <a:prstGeom prst="rect">
                      <a:avLst/>
                    </a:prstGeom>
                  </pic:spPr>
                </pic:pic>
              </a:graphicData>
            </a:graphic>
          </wp:inline>
        </w:drawing>
      </w:r>
    </w:p>
    <w:p w14:paraId="3F911987" w14:textId="77777777" w:rsidR="00C601AB" w:rsidRDefault="001F3095">
      <w:pPr>
        <w:spacing w:after="240"/>
        <w:jc w:val="center"/>
      </w:pPr>
      <w:r>
        <w:rPr>
          <w:i/>
          <w:iCs/>
          <w:color w:val="666666"/>
          <w:sz w:val="18"/>
          <w:szCs w:val="18"/>
        </w:rPr>
        <w:t>Exhibit 2.3 — Regulatory timeline positioning NEO PSP's entry</w:t>
      </w:r>
    </w:p>
    <w:p w14:paraId="3C8D1D98" w14:textId="77777777" w:rsidR="00C601AB" w:rsidRDefault="001F3095">
      <w:pPr>
        <w:spacing w:after="160" w:line="300" w:lineRule="auto"/>
      </w:pPr>
      <w:r>
        <w:rPr>
          <w:b/>
          <w:bCs/>
        </w:rPr>
        <w:t xml:space="preserve">Strategic implication: </w:t>
      </w:r>
      <w:r>
        <w:t>Regulatory direction is unambiguously pro-interoperability and pro-new-entrant. This is a time-bound window — the next 12–18 months are the more favorable entry period, not a 'someday' opportunity.</w:t>
      </w:r>
    </w:p>
    <w:p w14:paraId="0CB529FC" w14:textId="77777777" w:rsidR="00C601AB" w:rsidRDefault="001F3095">
      <w:pPr>
        <w:pStyle w:val="Heading2"/>
      </w:pPr>
      <w:bookmarkStart w:id="18" w:name="_Toc236834013"/>
      <w:r>
        <w:t>2.7 Future industry trends</w:t>
      </w:r>
      <w:bookmarkEnd w:id="18"/>
    </w:p>
    <w:p w14:paraId="1D187341" w14:textId="77777777" w:rsidR="00C601AB" w:rsidRDefault="001F3095">
      <w:pPr>
        <w:pStyle w:val="ListParagraph"/>
        <w:numPr>
          <w:ilvl w:val="0"/>
          <w:numId w:val="1"/>
        </w:numPr>
        <w:spacing w:after="100" w:line="290" w:lineRule="auto"/>
      </w:pPr>
      <w:r>
        <w:t>Consolidation among the long tail of PSPs is likely as the centrally floored 1% MDR compresses margins for undifferentiated players — favoring well-capitalized entrants like NEO PSP.</w:t>
      </w:r>
    </w:p>
    <w:p w14:paraId="4E0A3BC3" w14:textId="77777777" w:rsidR="00C601AB" w:rsidRDefault="001F3095">
      <w:pPr>
        <w:pStyle w:val="ListParagraph"/>
        <w:numPr>
          <w:ilvl w:val="0"/>
          <w:numId w:val="1"/>
        </w:numPr>
        <w:spacing w:after="100" w:line="290" w:lineRule="auto"/>
      </w:pPr>
      <w:r>
        <w:t>Open banking/PISP maturation will likely blur the MFS/PSP boundary over the medium term — revisit the strategic thesis at the Horizon 2/3 transition.</w:t>
      </w:r>
    </w:p>
    <w:p w14:paraId="79A375B0" w14:textId="77777777" w:rsidR="00C601AB" w:rsidRDefault="001F3095">
      <w:pPr>
        <w:pStyle w:val="ListParagraph"/>
        <w:numPr>
          <w:ilvl w:val="0"/>
          <w:numId w:val="1"/>
        </w:numPr>
        <w:spacing w:after="100" w:line="290" w:lineRule="auto"/>
      </w:pPr>
      <w:r>
        <w:t>E-commerce-native entrants (</w:t>
      </w:r>
      <w:proofErr w:type="spellStart"/>
      <w:r>
        <w:t>Daraz</w:t>
      </w:r>
      <w:proofErr w:type="spellEnd"/>
      <w:r>
        <w:t xml:space="preserve">, </w:t>
      </w:r>
      <w:proofErr w:type="spellStart"/>
      <w:r>
        <w:t>Chaldal</w:t>
      </w:r>
      <w:proofErr w:type="spellEnd"/>
      <w:r>
        <w:t>) applying for PSP licenses directly signal a future disintermediation risk to monitor, not act on immediately.</w:t>
      </w:r>
    </w:p>
    <w:p w14:paraId="0EE6D694" w14:textId="77777777" w:rsidR="00C601AB" w:rsidRDefault="001F3095">
      <w:r>
        <w:br w:type="page"/>
      </w:r>
    </w:p>
    <w:p w14:paraId="48C2A622" w14:textId="77777777" w:rsidR="00C601AB" w:rsidRDefault="001F3095">
      <w:pPr>
        <w:pStyle w:val="Heading1"/>
      </w:pPr>
      <w:bookmarkStart w:id="19" w:name="_Toc236834014"/>
      <w:r>
        <w:lastRenderedPageBreak/>
        <w:t>3. Competitive Benchmarking</w:t>
      </w:r>
      <w:bookmarkEnd w:id="19"/>
    </w:p>
    <w:p w14:paraId="6E6C534B" w14:textId="77777777" w:rsidR="00C601AB" w:rsidRDefault="001F3095">
      <w:pPr>
        <w:pBdr>
          <w:left w:val="single" w:sz="18" w:space="8" w:color="D85A30"/>
        </w:pBdr>
        <w:spacing w:after="220" w:line="300" w:lineRule="auto"/>
        <w:ind w:left="200"/>
      </w:pPr>
      <w:r>
        <w:rPr>
          <w:b/>
          <w:bCs/>
          <w:i/>
          <w:iCs/>
          <w:color w:val="1B2A4A"/>
        </w:rPr>
        <w:t xml:space="preserve">Governing thought: </w:t>
      </w:r>
      <w:r>
        <w:rPr>
          <w:i/>
          <w:iCs/>
          <w:color w:val="333333"/>
        </w:rPr>
        <w:t>NEO PSP's closest true comparable is not bKash or Nagad — it's Samadhan Services (Grameen Telecom's PSP subsidiary), the only other telco-backed PSP entrant in the market. Whoever converts telco distribution into merchant coverage faster wins the 'telco-fintech' sub-category before bank-backed or standalone fintech players close the gap.</w:t>
      </w:r>
    </w:p>
    <w:p w14:paraId="4CC4687E" w14:textId="77777777" w:rsidR="00C601AB" w:rsidRDefault="001F3095">
      <w:pPr>
        <w:spacing w:before="200" w:after="60"/>
        <w:jc w:val="center"/>
      </w:pPr>
      <w:r>
        <w:rPr>
          <w:noProof/>
        </w:rPr>
        <w:drawing>
          <wp:inline distT="0" distB="0" distL="0" distR="0" wp14:anchorId="2427F9A6" wp14:editId="2CA123C2">
            <wp:extent cx="4381500" cy="3752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3752850"/>
                    </a:xfrm>
                    <a:prstGeom prst="rect">
                      <a:avLst/>
                    </a:prstGeom>
                  </pic:spPr>
                </pic:pic>
              </a:graphicData>
            </a:graphic>
          </wp:inline>
        </w:drawing>
      </w:r>
    </w:p>
    <w:p w14:paraId="25E99A8B" w14:textId="77777777" w:rsidR="00C601AB" w:rsidRDefault="001F3095">
      <w:pPr>
        <w:spacing w:after="240"/>
        <w:jc w:val="center"/>
      </w:pPr>
      <w:r>
        <w:rPr>
          <w:i/>
          <w:iCs/>
          <w:color w:val="666666"/>
          <w:sz w:val="18"/>
          <w:szCs w:val="18"/>
        </w:rPr>
        <w:t>Exhibit 3.1 — Competitive positioning: distribution scale vs. platform sophistication</w:t>
      </w:r>
    </w:p>
    <w:p w14:paraId="0DDA8823" w14:textId="77777777" w:rsidR="00C601AB" w:rsidRDefault="001F3095">
      <w:pPr>
        <w:pStyle w:val="Heading2"/>
      </w:pPr>
      <w:bookmarkStart w:id="20" w:name="_Toc236834015"/>
      <w:r>
        <w:t>3.1 Benchmark comparison</w:t>
      </w:r>
      <w:bookmarkEnd w:id="2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1900"/>
        <w:gridCol w:w="1900"/>
        <w:gridCol w:w="2300"/>
      </w:tblGrid>
      <w:tr w:rsidR="00C601AB" w14:paraId="31F21EC1" w14:textId="77777777">
        <w:trPr>
          <w:tblHeader/>
        </w:trPr>
        <w:tc>
          <w:tcPr>
            <w:tcW w:w="1900" w:type="dxa"/>
            <w:shd w:val="clear" w:color="auto" w:fill="1B2A4A"/>
            <w:tcMar>
              <w:top w:w="80" w:type="dxa"/>
              <w:left w:w="100" w:type="dxa"/>
              <w:bottom w:w="80" w:type="dxa"/>
              <w:right w:w="100" w:type="dxa"/>
            </w:tcMar>
            <w:vAlign w:val="center"/>
          </w:tcPr>
          <w:p w14:paraId="13A55EB0" w14:textId="77777777" w:rsidR="00C601AB" w:rsidRDefault="001F3095">
            <w:r>
              <w:rPr>
                <w:b/>
                <w:bCs/>
                <w:color w:val="FFFFFF"/>
                <w:sz w:val="18"/>
                <w:szCs w:val="18"/>
              </w:rPr>
              <w:t>Dimension</w:t>
            </w:r>
          </w:p>
        </w:tc>
        <w:tc>
          <w:tcPr>
            <w:tcW w:w="2000" w:type="dxa"/>
            <w:shd w:val="clear" w:color="auto" w:fill="1B2A4A"/>
            <w:tcMar>
              <w:top w:w="80" w:type="dxa"/>
              <w:left w:w="100" w:type="dxa"/>
              <w:bottom w:w="80" w:type="dxa"/>
              <w:right w:w="100" w:type="dxa"/>
            </w:tcMar>
            <w:vAlign w:val="center"/>
          </w:tcPr>
          <w:p w14:paraId="4A2E53B6" w14:textId="77777777" w:rsidR="00C601AB" w:rsidRDefault="001F3095">
            <w:r>
              <w:rPr>
                <w:b/>
                <w:bCs/>
                <w:color w:val="FFFFFF"/>
                <w:sz w:val="18"/>
                <w:szCs w:val="18"/>
              </w:rPr>
              <w:t>bKash / Nagad</w:t>
            </w:r>
          </w:p>
        </w:tc>
        <w:tc>
          <w:tcPr>
            <w:tcW w:w="1900" w:type="dxa"/>
            <w:shd w:val="clear" w:color="auto" w:fill="1B2A4A"/>
            <w:tcMar>
              <w:top w:w="80" w:type="dxa"/>
              <w:left w:w="100" w:type="dxa"/>
              <w:bottom w:w="80" w:type="dxa"/>
              <w:right w:w="100" w:type="dxa"/>
            </w:tcMar>
            <w:vAlign w:val="center"/>
          </w:tcPr>
          <w:p w14:paraId="6E4E5BC9" w14:textId="77777777" w:rsidR="00C601AB" w:rsidRDefault="001F3095">
            <w:proofErr w:type="spellStart"/>
            <w:r>
              <w:rPr>
                <w:b/>
                <w:bCs/>
                <w:color w:val="FFFFFF"/>
                <w:sz w:val="18"/>
                <w:szCs w:val="18"/>
              </w:rPr>
              <w:t>iPay</w:t>
            </w:r>
            <w:proofErr w:type="spellEnd"/>
            <w:r>
              <w:rPr>
                <w:b/>
                <w:bCs/>
                <w:color w:val="FFFFFF"/>
                <w:sz w:val="18"/>
                <w:szCs w:val="18"/>
              </w:rPr>
              <w:t xml:space="preserve"> Systems</w:t>
            </w:r>
          </w:p>
        </w:tc>
        <w:tc>
          <w:tcPr>
            <w:tcW w:w="1900" w:type="dxa"/>
            <w:shd w:val="clear" w:color="auto" w:fill="1B2A4A"/>
            <w:tcMar>
              <w:top w:w="80" w:type="dxa"/>
              <w:left w:w="100" w:type="dxa"/>
              <w:bottom w:w="80" w:type="dxa"/>
              <w:right w:w="100" w:type="dxa"/>
            </w:tcMar>
            <w:vAlign w:val="center"/>
          </w:tcPr>
          <w:p w14:paraId="4F2412B9" w14:textId="77777777" w:rsidR="00C601AB" w:rsidRDefault="001F3095">
            <w:proofErr w:type="spellStart"/>
            <w:r>
              <w:rPr>
                <w:b/>
                <w:bCs/>
                <w:color w:val="FFFFFF"/>
                <w:sz w:val="18"/>
                <w:szCs w:val="18"/>
              </w:rPr>
              <w:t>Pathao</w:t>
            </w:r>
            <w:proofErr w:type="spellEnd"/>
            <w:r>
              <w:rPr>
                <w:b/>
                <w:bCs/>
                <w:color w:val="FFFFFF"/>
                <w:sz w:val="18"/>
                <w:szCs w:val="18"/>
              </w:rPr>
              <w:t xml:space="preserve"> Pay</w:t>
            </w:r>
          </w:p>
        </w:tc>
        <w:tc>
          <w:tcPr>
            <w:tcW w:w="2300" w:type="dxa"/>
            <w:shd w:val="clear" w:color="auto" w:fill="1B2A4A"/>
            <w:tcMar>
              <w:top w:w="80" w:type="dxa"/>
              <w:left w:w="100" w:type="dxa"/>
              <w:bottom w:w="80" w:type="dxa"/>
              <w:right w:w="100" w:type="dxa"/>
            </w:tcMar>
            <w:vAlign w:val="center"/>
          </w:tcPr>
          <w:p w14:paraId="35EF21D8" w14:textId="77777777" w:rsidR="00C601AB" w:rsidRDefault="001F3095">
            <w:r>
              <w:rPr>
                <w:b/>
                <w:bCs/>
                <w:color w:val="FFFFFF"/>
                <w:sz w:val="18"/>
                <w:szCs w:val="18"/>
              </w:rPr>
              <w:t>NEO PSP (</w:t>
            </w:r>
            <w:proofErr w:type="spellStart"/>
            <w:r>
              <w:rPr>
                <w:b/>
                <w:bCs/>
                <w:color w:val="FFFFFF"/>
                <w:sz w:val="18"/>
                <w:szCs w:val="18"/>
              </w:rPr>
              <w:t>Mukto</w:t>
            </w:r>
            <w:proofErr w:type="spellEnd"/>
            <w:r>
              <w:rPr>
                <w:b/>
                <w:bCs/>
                <w:color w:val="FFFFFF"/>
                <w:sz w:val="18"/>
                <w:szCs w:val="18"/>
              </w:rPr>
              <w:t xml:space="preserve"> Pay)</w:t>
            </w:r>
          </w:p>
        </w:tc>
      </w:tr>
      <w:tr w:rsidR="00C601AB" w14:paraId="466F7E78" w14:textId="77777777">
        <w:tc>
          <w:tcPr>
            <w:tcW w:w="1900" w:type="dxa"/>
            <w:tcMar>
              <w:top w:w="80" w:type="dxa"/>
              <w:left w:w="100" w:type="dxa"/>
              <w:bottom w:w="80" w:type="dxa"/>
              <w:right w:w="100" w:type="dxa"/>
            </w:tcMar>
            <w:vAlign w:val="center"/>
          </w:tcPr>
          <w:p w14:paraId="3092B04D" w14:textId="77777777" w:rsidR="00C601AB" w:rsidRDefault="001F3095">
            <w:r>
              <w:rPr>
                <w:color w:val="222222"/>
                <w:sz w:val="18"/>
                <w:szCs w:val="18"/>
              </w:rPr>
              <w:t>Value proposition</w:t>
            </w:r>
          </w:p>
        </w:tc>
        <w:tc>
          <w:tcPr>
            <w:tcW w:w="2000" w:type="dxa"/>
            <w:tcMar>
              <w:top w:w="80" w:type="dxa"/>
              <w:left w:w="100" w:type="dxa"/>
              <w:bottom w:w="80" w:type="dxa"/>
              <w:right w:w="100" w:type="dxa"/>
            </w:tcMar>
            <w:vAlign w:val="center"/>
          </w:tcPr>
          <w:p w14:paraId="068239D1" w14:textId="77777777" w:rsidR="00C601AB" w:rsidRDefault="001F3095">
            <w:r>
              <w:rPr>
                <w:color w:val="222222"/>
                <w:sz w:val="18"/>
                <w:szCs w:val="18"/>
              </w:rPr>
              <w:t>Ubiquitous consumer wallet</w:t>
            </w:r>
          </w:p>
        </w:tc>
        <w:tc>
          <w:tcPr>
            <w:tcW w:w="1900" w:type="dxa"/>
            <w:tcMar>
              <w:top w:w="80" w:type="dxa"/>
              <w:left w:w="100" w:type="dxa"/>
              <w:bottom w:w="80" w:type="dxa"/>
              <w:right w:w="100" w:type="dxa"/>
            </w:tcMar>
            <w:vAlign w:val="center"/>
          </w:tcPr>
          <w:p w14:paraId="4CF0B11C" w14:textId="77777777" w:rsidR="00C601AB" w:rsidRDefault="001F3095">
            <w:r>
              <w:rPr>
                <w:color w:val="222222"/>
                <w:sz w:val="18"/>
                <w:szCs w:val="18"/>
              </w:rPr>
              <w:t>Bank-agnostic merchant gateway</w:t>
            </w:r>
          </w:p>
        </w:tc>
        <w:tc>
          <w:tcPr>
            <w:tcW w:w="1900" w:type="dxa"/>
            <w:tcMar>
              <w:top w:w="80" w:type="dxa"/>
              <w:left w:w="100" w:type="dxa"/>
              <w:bottom w:w="80" w:type="dxa"/>
              <w:right w:w="100" w:type="dxa"/>
            </w:tcMar>
            <w:vAlign w:val="center"/>
          </w:tcPr>
          <w:p w14:paraId="48C76320" w14:textId="77777777" w:rsidR="00C601AB" w:rsidRDefault="001F3095">
            <w:r>
              <w:rPr>
                <w:color w:val="222222"/>
                <w:sz w:val="18"/>
                <w:szCs w:val="18"/>
              </w:rPr>
              <w:t>Payments layered on a super-app</w:t>
            </w:r>
          </w:p>
        </w:tc>
        <w:tc>
          <w:tcPr>
            <w:tcW w:w="2300" w:type="dxa"/>
            <w:tcMar>
              <w:top w:w="80" w:type="dxa"/>
              <w:left w:w="100" w:type="dxa"/>
              <w:bottom w:w="80" w:type="dxa"/>
              <w:right w:w="100" w:type="dxa"/>
            </w:tcMar>
            <w:vAlign w:val="center"/>
          </w:tcPr>
          <w:p w14:paraId="2432A84E" w14:textId="77777777" w:rsidR="00C601AB" w:rsidRDefault="001F3095">
            <w:r>
              <w:rPr>
                <w:color w:val="222222"/>
                <w:sz w:val="18"/>
                <w:szCs w:val="18"/>
              </w:rPr>
              <w:t>Telco distribution + fintech-grade platform, inclusion-framed</w:t>
            </w:r>
          </w:p>
        </w:tc>
      </w:tr>
      <w:tr w:rsidR="00C601AB" w14:paraId="0E8C7605" w14:textId="77777777">
        <w:tc>
          <w:tcPr>
            <w:tcW w:w="1900" w:type="dxa"/>
            <w:tcMar>
              <w:top w:w="80" w:type="dxa"/>
              <w:left w:w="100" w:type="dxa"/>
              <w:bottom w:w="80" w:type="dxa"/>
              <w:right w:w="100" w:type="dxa"/>
            </w:tcMar>
            <w:vAlign w:val="center"/>
          </w:tcPr>
          <w:p w14:paraId="3E539C08" w14:textId="77777777" w:rsidR="00C601AB" w:rsidRDefault="001F3095">
            <w:r>
              <w:rPr>
                <w:color w:val="222222"/>
                <w:sz w:val="18"/>
                <w:szCs w:val="18"/>
              </w:rPr>
              <w:t>Customer segments</w:t>
            </w:r>
          </w:p>
        </w:tc>
        <w:tc>
          <w:tcPr>
            <w:tcW w:w="2000" w:type="dxa"/>
            <w:tcMar>
              <w:top w:w="80" w:type="dxa"/>
              <w:left w:w="100" w:type="dxa"/>
              <w:bottom w:w="80" w:type="dxa"/>
              <w:right w:w="100" w:type="dxa"/>
            </w:tcMar>
            <w:vAlign w:val="center"/>
          </w:tcPr>
          <w:p w14:paraId="2895C1F7" w14:textId="77777777" w:rsidR="00C601AB" w:rsidRDefault="001F3095">
            <w:r>
              <w:rPr>
                <w:color w:val="222222"/>
                <w:sz w:val="18"/>
                <w:szCs w:val="18"/>
              </w:rPr>
              <w:t>Mass consumer, broadest reach</w:t>
            </w:r>
          </w:p>
        </w:tc>
        <w:tc>
          <w:tcPr>
            <w:tcW w:w="1900" w:type="dxa"/>
            <w:tcMar>
              <w:top w:w="80" w:type="dxa"/>
              <w:left w:w="100" w:type="dxa"/>
              <w:bottom w:w="80" w:type="dxa"/>
              <w:right w:w="100" w:type="dxa"/>
            </w:tcMar>
            <w:vAlign w:val="center"/>
          </w:tcPr>
          <w:p w14:paraId="143ED928" w14:textId="77777777" w:rsidR="00C601AB" w:rsidRDefault="001F3095">
            <w:r>
              <w:rPr>
                <w:color w:val="222222"/>
                <w:sz w:val="18"/>
                <w:szCs w:val="18"/>
              </w:rPr>
              <w:t>SME merchants + their customers</w:t>
            </w:r>
          </w:p>
        </w:tc>
        <w:tc>
          <w:tcPr>
            <w:tcW w:w="1900" w:type="dxa"/>
            <w:tcMar>
              <w:top w:w="80" w:type="dxa"/>
              <w:left w:w="100" w:type="dxa"/>
              <w:bottom w:w="80" w:type="dxa"/>
              <w:right w:w="100" w:type="dxa"/>
            </w:tcMar>
            <w:vAlign w:val="center"/>
          </w:tcPr>
          <w:p w14:paraId="4A1D7E64" w14:textId="77777777" w:rsidR="00C601AB" w:rsidRDefault="001F3095">
            <w:r>
              <w:rPr>
                <w:color w:val="222222"/>
                <w:sz w:val="18"/>
                <w:szCs w:val="18"/>
              </w:rPr>
              <w:t xml:space="preserve">Existing </w:t>
            </w:r>
            <w:proofErr w:type="spellStart"/>
            <w:r>
              <w:rPr>
                <w:color w:val="222222"/>
                <w:sz w:val="18"/>
                <w:szCs w:val="18"/>
              </w:rPr>
              <w:t>Pathao</w:t>
            </w:r>
            <w:proofErr w:type="spellEnd"/>
            <w:r>
              <w:rPr>
                <w:color w:val="222222"/>
                <w:sz w:val="18"/>
                <w:szCs w:val="18"/>
              </w:rPr>
              <w:t xml:space="preserve"> urban user base</w:t>
            </w:r>
          </w:p>
        </w:tc>
        <w:tc>
          <w:tcPr>
            <w:tcW w:w="2300" w:type="dxa"/>
            <w:tcMar>
              <w:top w:w="80" w:type="dxa"/>
              <w:left w:w="100" w:type="dxa"/>
              <w:bottom w:w="80" w:type="dxa"/>
              <w:right w:w="100" w:type="dxa"/>
            </w:tcMar>
            <w:vAlign w:val="center"/>
          </w:tcPr>
          <w:p w14:paraId="68869845" w14:textId="77777777" w:rsidR="00C601AB" w:rsidRDefault="001F3095">
            <w:r>
              <w:rPr>
                <w:color w:val="222222"/>
                <w:sz w:val="18"/>
                <w:szCs w:val="18"/>
              </w:rPr>
              <w:t>Banglalink's 41M+ base incl. underserved/rural</w:t>
            </w:r>
          </w:p>
        </w:tc>
      </w:tr>
      <w:tr w:rsidR="00C601AB" w14:paraId="307D21EF" w14:textId="77777777">
        <w:tc>
          <w:tcPr>
            <w:tcW w:w="1900" w:type="dxa"/>
            <w:tcMar>
              <w:top w:w="80" w:type="dxa"/>
              <w:left w:w="100" w:type="dxa"/>
              <w:bottom w:w="80" w:type="dxa"/>
              <w:right w:w="100" w:type="dxa"/>
            </w:tcMar>
            <w:vAlign w:val="center"/>
          </w:tcPr>
          <w:p w14:paraId="3D986752" w14:textId="77777777" w:rsidR="00C601AB" w:rsidRDefault="001F3095">
            <w:r>
              <w:rPr>
                <w:color w:val="222222"/>
                <w:sz w:val="18"/>
                <w:szCs w:val="18"/>
              </w:rPr>
              <w:t>Merchant ecosystem</w:t>
            </w:r>
          </w:p>
        </w:tc>
        <w:tc>
          <w:tcPr>
            <w:tcW w:w="2000" w:type="dxa"/>
            <w:tcMar>
              <w:top w:w="80" w:type="dxa"/>
              <w:left w:w="100" w:type="dxa"/>
              <w:bottom w:w="80" w:type="dxa"/>
              <w:right w:w="100" w:type="dxa"/>
            </w:tcMar>
            <w:vAlign w:val="center"/>
          </w:tcPr>
          <w:p w14:paraId="1AC095E6" w14:textId="77777777" w:rsidR="00C601AB" w:rsidRDefault="001F3095">
            <w:r>
              <w:rPr>
                <w:color w:val="222222"/>
                <w:sz w:val="18"/>
                <w:szCs w:val="18"/>
              </w:rPr>
              <w:t>Largest, most mature agent network</w:t>
            </w:r>
          </w:p>
        </w:tc>
        <w:tc>
          <w:tcPr>
            <w:tcW w:w="1900" w:type="dxa"/>
            <w:tcMar>
              <w:top w:w="80" w:type="dxa"/>
              <w:left w:w="100" w:type="dxa"/>
              <w:bottom w:w="80" w:type="dxa"/>
              <w:right w:w="100" w:type="dxa"/>
            </w:tcMar>
            <w:vAlign w:val="center"/>
          </w:tcPr>
          <w:p w14:paraId="69435B9D" w14:textId="77777777" w:rsidR="00C601AB" w:rsidRDefault="001F3095">
            <w:r>
              <w:rPr>
                <w:color w:val="222222"/>
                <w:sz w:val="18"/>
                <w:szCs w:val="18"/>
              </w:rPr>
              <w:t>Merchant-first from inception</w:t>
            </w:r>
          </w:p>
        </w:tc>
        <w:tc>
          <w:tcPr>
            <w:tcW w:w="1900" w:type="dxa"/>
            <w:tcMar>
              <w:top w:w="80" w:type="dxa"/>
              <w:left w:w="100" w:type="dxa"/>
              <w:bottom w:w="80" w:type="dxa"/>
              <w:right w:w="100" w:type="dxa"/>
            </w:tcMar>
            <w:vAlign w:val="center"/>
          </w:tcPr>
          <w:p w14:paraId="581E85AD" w14:textId="77777777" w:rsidR="00C601AB" w:rsidRDefault="001F3095">
            <w:r>
              <w:rPr>
                <w:color w:val="222222"/>
                <w:sz w:val="18"/>
                <w:szCs w:val="18"/>
              </w:rPr>
              <w:t>Narrow, inherited from logistics partners</w:t>
            </w:r>
          </w:p>
        </w:tc>
        <w:tc>
          <w:tcPr>
            <w:tcW w:w="2300" w:type="dxa"/>
            <w:tcMar>
              <w:top w:w="80" w:type="dxa"/>
              <w:left w:w="100" w:type="dxa"/>
              <w:bottom w:w="80" w:type="dxa"/>
              <w:right w:w="100" w:type="dxa"/>
            </w:tcMar>
            <w:vAlign w:val="center"/>
          </w:tcPr>
          <w:p w14:paraId="25FB306A" w14:textId="77777777" w:rsidR="00C601AB" w:rsidRDefault="001F3095">
            <w:r>
              <w:rPr>
                <w:color w:val="222222"/>
                <w:sz w:val="18"/>
                <w:szCs w:val="18"/>
              </w:rPr>
              <w:t>Greenfield — largest risk and opportunity</w:t>
            </w:r>
          </w:p>
        </w:tc>
      </w:tr>
      <w:tr w:rsidR="00C601AB" w14:paraId="3E0D6E76" w14:textId="77777777">
        <w:tc>
          <w:tcPr>
            <w:tcW w:w="1900" w:type="dxa"/>
            <w:tcMar>
              <w:top w:w="80" w:type="dxa"/>
              <w:left w:w="100" w:type="dxa"/>
              <w:bottom w:w="80" w:type="dxa"/>
              <w:right w:w="100" w:type="dxa"/>
            </w:tcMar>
            <w:vAlign w:val="center"/>
          </w:tcPr>
          <w:p w14:paraId="4B8B95FB" w14:textId="77777777" w:rsidR="00C601AB" w:rsidRDefault="001F3095">
            <w:r>
              <w:rPr>
                <w:color w:val="222222"/>
                <w:sz w:val="18"/>
                <w:szCs w:val="18"/>
              </w:rPr>
              <w:t>Distribution</w:t>
            </w:r>
          </w:p>
        </w:tc>
        <w:tc>
          <w:tcPr>
            <w:tcW w:w="2000" w:type="dxa"/>
            <w:tcMar>
              <w:top w:w="80" w:type="dxa"/>
              <w:left w:w="100" w:type="dxa"/>
              <w:bottom w:w="80" w:type="dxa"/>
              <w:right w:w="100" w:type="dxa"/>
            </w:tcMar>
            <w:vAlign w:val="center"/>
          </w:tcPr>
          <w:p w14:paraId="450594F3" w14:textId="77777777" w:rsidR="00C601AB" w:rsidRDefault="001F3095">
            <w:r>
              <w:rPr>
                <w:color w:val="222222"/>
                <w:sz w:val="18"/>
                <w:szCs w:val="18"/>
              </w:rPr>
              <w:t>Dense decade-old agent network</w:t>
            </w:r>
          </w:p>
        </w:tc>
        <w:tc>
          <w:tcPr>
            <w:tcW w:w="1900" w:type="dxa"/>
            <w:tcMar>
              <w:top w:w="80" w:type="dxa"/>
              <w:left w:w="100" w:type="dxa"/>
              <w:bottom w:w="80" w:type="dxa"/>
              <w:right w:w="100" w:type="dxa"/>
            </w:tcMar>
            <w:vAlign w:val="center"/>
          </w:tcPr>
          <w:p w14:paraId="02301528" w14:textId="77777777" w:rsidR="00C601AB" w:rsidRDefault="001F3095">
            <w:r>
              <w:rPr>
                <w:color w:val="222222"/>
                <w:sz w:val="18"/>
                <w:szCs w:val="18"/>
              </w:rPr>
              <w:t>Digital-first, bank partnerships</w:t>
            </w:r>
          </w:p>
        </w:tc>
        <w:tc>
          <w:tcPr>
            <w:tcW w:w="1900" w:type="dxa"/>
            <w:tcMar>
              <w:top w:w="80" w:type="dxa"/>
              <w:left w:w="100" w:type="dxa"/>
              <w:bottom w:w="80" w:type="dxa"/>
              <w:right w:w="100" w:type="dxa"/>
            </w:tcMar>
            <w:vAlign w:val="center"/>
          </w:tcPr>
          <w:p w14:paraId="09A86212" w14:textId="77777777" w:rsidR="00C601AB" w:rsidRDefault="001F3095">
            <w:r>
              <w:rPr>
                <w:color w:val="222222"/>
                <w:sz w:val="18"/>
                <w:szCs w:val="18"/>
              </w:rPr>
              <w:t>Cross-sell into app base, zero CAC</w:t>
            </w:r>
          </w:p>
        </w:tc>
        <w:tc>
          <w:tcPr>
            <w:tcW w:w="2300" w:type="dxa"/>
            <w:tcMar>
              <w:top w:w="80" w:type="dxa"/>
              <w:left w:w="100" w:type="dxa"/>
              <w:bottom w:w="80" w:type="dxa"/>
              <w:right w:w="100" w:type="dxa"/>
            </w:tcMar>
            <w:vAlign w:val="center"/>
          </w:tcPr>
          <w:p w14:paraId="1BC70B69" w14:textId="77777777" w:rsidR="00C601AB" w:rsidRDefault="001F3095">
            <w:r>
              <w:rPr>
                <w:color w:val="222222"/>
                <w:sz w:val="18"/>
                <w:szCs w:val="18"/>
              </w:rPr>
              <w:t>Cross-sell into Banglalink subscriber + SME base</w:t>
            </w:r>
          </w:p>
        </w:tc>
      </w:tr>
      <w:tr w:rsidR="00C601AB" w14:paraId="3870217E" w14:textId="77777777">
        <w:tc>
          <w:tcPr>
            <w:tcW w:w="1900" w:type="dxa"/>
            <w:tcMar>
              <w:top w:w="80" w:type="dxa"/>
              <w:left w:w="100" w:type="dxa"/>
              <w:bottom w:w="80" w:type="dxa"/>
              <w:right w:w="100" w:type="dxa"/>
            </w:tcMar>
            <w:vAlign w:val="center"/>
          </w:tcPr>
          <w:p w14:paraId="24537FB8" w14:textId="77777777" w:rsidR="00C601AB" w:rsidRDefault="001F3095">
            <w:r>
              <w:rPr>
                <w:color w:val="222222"/>
                <w:sz w:val="18"/>
                <w:szCs w:val="18"/>
              </w:rPr>
              <w:t>Key weakness</w:t>
            </w:r>
          </w:p>
        </w:tc>
        <w:tc>
          <w:tcPr>
            <w:tcW w:w="2000" w:type="dxa"/>
            <w:tcMar>
              <w:top w:w="80" w:type="dxa"/>
              <w:left w:w="100" w:type="dxa"/>
              <w:bottom w:w="80" w:type="dxa"/>
              <w:right w:w="100" w:type="dxa"/>
            </w:tcMar>
            <w:vAlign w:val="center"/>
          </w:tcPr>
          <w:p w14:paraId="325785B8" w14:textId="77777777" w:rsidR="00C601AB" w:rsidRDefault="001F3095">
            <w:r>
              <w:rPr>
                <w:color w:val="222222"/>
                <w:sz w:val="18"/>
                <w:szCs w:val="18"/>
              </w:rPr>
              <w:t>High cost to maintain agent network</w:t>
            </w:r>
          </w:p>
        </w:tc>
        <w:tc>
          <w:tcPr>
            <w:tcW w:w="1900" w:type="dxa"/>
            <w:tcMar>
              <w:top w:w="80" w:type="dxa"/>
              <w:left w:w="100" w:type="dxa"/>
              <w:bottom w:w="80" w:type="dxa"/>
              <w:right w:w="100" w:type="dxa"/>
            </w:tcMar>
            <w:vAlign w:val="center"/>
          </w:tcPr>
          <w:p w14:paraId="62B1AF72" w14:textId="77777777" w:rsidR="00C601AB" w:rsidRDefault="001F3095">
            <w:r>
              <w:rPr>
                <w:color w:val="222222"/>
                <w:sz w:val="18"/>
                <w:szCs w:val="18"/>
              </w:rPr>
              <w:t>Sub-scale vs. MFS incumbents</w:t>
            </w:r>
          </w:p>
        </w:tc>
        <w:tc>
          <w:tcPr>
            <w:tcW w:w="1900" w:type="dxa"/>
            <w:tcMar>
              <w:top w:w="80" w:type="dxa"/>
              <w:left w:w="100" w:type="dxa"/>
              <w:bottom w:w="80" w:type="dxa"/>
              <w:right w:w="100" w:type="dxa"/>
            </w:tcMar>
            <w:vAlign w:val="center"/>
          </w:tcPr>
          <w:p w14:paraId="55A48CD1" w14:textId="77777777" w:rsidR="00C601AB" w:rsidRDefault="001F3095">
            <w:r>
              <w:rPr>
                <w:color w:val="222222"/>
                <w:sz w:val="18"/>
                <w:szCs w:val="18"/>
              </w:rPr>
              <w:t>Narrow addressable base</w:t>
            </w:r>
          </w:p>
        </w:tc>
        <w:tc>
          <w:tcPr>
            <w:tcW w:w="2300" w:type="dxa"/>
            <w:tcMar>
              <w:top w:w="80" w:type="dxa"/>
              <w:left w:w="100" w:type="dxa"/>
              <w:bottom w:w="80" w:type="dxa"/>
              <w:right w:w="100" w:type="dxa"/>
            </w:tcMar>
            <w:vAlign w:val="center"/>
          </w:tcPr>
          <w:p w14:paraId="24BB170D" w14:textId="77777777" w:rsidR="00C601AB" w:rsidRDefault="001F3095">
            <w:r>
              <w:rPr>
                <w:color w:val="222222"/>
                <w:sz w:val="18"/>
                <w:szCs w:val="18"/>
              </w:rPr>
              <w:t>No operating history; first-mover disadvantage vs. 8+ PSPs</w:t>
            </w:r>
          </w:p>
        </w:tc>
      </w:tr>
    </w:tbl>
    <w:p w14:paraId="40C1BB76" w14:textId="77777777" w:rsidR="00C601AB" w:rsidRDefault="00C601AB">
      <w:pPr>
        <w:spacing w:after="160" w:line="300" w:lineRule="auto"/>
      </w:pPr>
    </w:p>
    <w:p w14:paraId="63416BCA" w14:textId="77777777" w:rsidR="00C601AB" w:rsidRDefault="001F3095">
      <w:pPr>
        <w:pStyle w:val="Heading2"/>
      </w:pPr>
      <w:bookmarkStart w:id="21" w:name="_Toc236834016"/>
      <w:r>
        <w:lastRenderedPageBreak/>
        <w:t>3.2 Strategic gaps NEO PSP could address</w:t>
      </w:r>
      <w:bookmarkEnd w:id="21"/>
    </w:p>
    <w:p w14:paraId="5FD120FD" w14:textId="77777777" w:rsidR="00C601AB" w:rsidRDefault="001F3095">
      <w:pPr>
        <w:pStyle w:val="ListParagraph"/>
        <w:numPr>
          <w:ilvl w:val="0"/>
          <w:numId w:val="1"/>
        </w:numPr>
        <w:spacing w:after="100" w:line="290" w:lineRule="auto"/>
      </w:pPr>
      <w:r>
        <w:t>The 'telco-scale distribution + fintech-grade platform' gap — no competitor combines both simultaneously; this is NEO PSP's headline right-to-win claim.</w:t>
      </w:r>
    </w:p>
    <w:p w14:paraId="74EB665E" w14:textId="77777777" w:rsidR="00C601AB" w:rsidRDefault="001F3095">
      <w:pPr>
        <w:pStyle w:val="ListParagraph"/>
        <w:numPr>
          <w:ilvl w:val="0"/>
          <w:numId w:val="1"/>
        </w:numPr>
        <w:spacing w:after="100" w:line="290" w:lineRule="auto"/>
      </w:pPr>
      <w:r>
        <w:t>The SME/enterprise disbursement gap — no benchmarked PSP has built a strong payroll/vendor-disbursement franchise; Banglalink's existing enterprise relationships are a direct, underexploited channel.</w:t>
      </w:r>
    </w:p>
    <w:p w14:paraId="05C329E6" w14:textId="77777777" w:rsidR="00C601AB" w:rsidRDefault="001F3095">
      <w:pPr>
        <w:pStyle w:val="ListParagraph"/>
        <w:numPr>
          <w:ilvl w:val="0"/>
          <w:numId w:val="1"/>
        </w:numPr>
        <w:spacing w:after="100" w:line="290" w:lineRule="auto"/>
      </w:pPr>
      <w:r>
        <w:t>The underserved/rural-inclusion credibility gap — bKash/Nagad growth concentrates in urban, higher-literacy segments; NEO PSP's '</w:t>
      </w:r>
      <w:proofErr w:type="spellStart"/>
      <w:r>
        <w:t>Mukto</w:t>
      </w:r>
      <w:proofErr w:type="spellEnd"/>
      <w:r>
        <w:t>' branding and Banglalink's rural base give it a credible differentiated claim, if backed by real product design.</w:t>
      </w:r>
    </w:p>
    <w:p w14:paraId="2B2B18E0" w14:textId="77777777" w:rsidR="00C601AB" w:rsidRDefault="001F3095">
      <w:pPr>
        <w:spacing w:after="160" w:line="300" w:lineRule="auto"/>
      </w:pPr>
      <w:r>
        <w:rPr>
          <w:b/>
          <w:bCs/>
        </w:rPr>
        <w:t xml:space="preserve">Bottom line: </w:t>
      </w:r>
      <w:r>
        <w:t>NEO PSP should not try to out-</w:t>
      </w:r>
      <w:proofErr w:type="spellStart"/>
      <w:r>
        <w:t>iPay</w:t>
      </w:r>
      <w:proofErr w:type="spellEnd"/>
      <w:r>
        <w:t xml:space="preserve"> </w:t>
      </w:r>
      <w:proofErr w:type="spellStart"/>
      <w:r>
        <w:t>iPay</w:t>
      </w:r>
      <w:proofErr w:type="spellEnd"/>
      <w:r>
        <w:t xml:space="preserve"> on merchant tooling, out-</w:t>
      </w:r>
      <w:proofErr w:type="spellStart"/>
      <w:r>
        <w:t>Pathao</w:t>
      </w:r>
      <w:proofErr w:type="spellEnd"/>
      <w:r>
        <w:t xml:space="preserve"> </w:t>
      </w:r>
      <w:proofErr w:type="spellStart"/>
      <w:r>
        <w:t>Pathao</w:t>
      </w:r>
      <w:proofErr w:type="spellEnd"/>
      <w:r>
        <w:t xml:space="preserve"> on app cross-sell, or out-bKash bKash on consumer trust. It should compete on the one combination none of them have — deployed first into SME/enterprise disbursement and merchant acquisition, not consumer wallet share.</w:t>
      </w:r>
    </w:p>
    <w:p w14:paraId="2F660552" w14:textId="77777777" w:rsidR="00C601AB" w:rsidRDefault="001F3095">
      <w:r>
        <w:br w:type="page"/>
      </w:r>
    </w:p>
    <w:p w14:paraId="77E6DA40" w14:textId="77777777" w:rsidR="00C601AB" w:rsidRDefault="001F3095">
      <w:pPr>
        <w:pStyle w:val="Heading1"/>
      </w:pPr>
      <w:bookmarkStart w:id="22" w:name="_Toc236834017"/>
      <w:r>
        <w:lastRenderedPageBreak/>
        <w:t>4. Three-Year Strategic Growth Framework</w:t>
      </w:r>
      <w:bookmarkEnd w:id="22"/>
    </w:p>
    <w:p w14:paraId="6E4FC3AE" w14:textId="77777777" w:rsidR="00C601AB" w:rsidRDefault="001F3095">
      <w:pPr>
        <w:pBdr>
          <w:left w:val="single" w:sz="18" w:space="8" w:color="D85A30"/>
        </w:pBdr>
        <w:spacing w:after="220" w:line="300" w:lineRule="auto"/>
        <w:ind w:left="200"/>
      </w:pPr>
      <w:r>
        <w:rPr>
          <w:b/>
          <w:bCs/>
          <w:i/>
          <w:iCs/>
          <w:color w:val="1B2A4A"/>
        </w:rPr>
        <w:t xml:space="preserve">Governing thought: </w:t>
      </w:r>
      <w:r>
        <w:rPr>
          <w:i/>
          <w:iCs/>
          <w:color w:val="333333"/>
        </w:rPr>
        <w:t>The eight growth levers are a sequence, not eight parallel workstreams. Customer and merchant acquisition fund the base; telecom integration and SME disbursement convert Banglalink's existing relationships into NEO PSP's cheapest growth channel; loyalty, personalization, and cross-sell only compound once there's a transacting base to compound against.</w:t>
      </w:r>
    </w:p>
    <w:p w14:paraId="0512E2ED" w14:textId="77777777" w:rsidR="00C601AB" w:rsidRDefault="001F3095">
      <w:pPr>
        <w:spacing w:before="200" w:after="60"/>
        <w:jc w:val="center"/>
      </w:pPr>
      <w:r>
        <w:rPr>
          <w:noProof/>
        </w:rPr>
        <w:drawing>
          <wp:inline distT="0" distB="0" distL="0" distR="0" wp14:anchorId="3CE583C5" wp14:editId="4BFD028B">
            <wp:extent cx="5143500" cy="2114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114550"/>
                    </a:xfrm>
                    <a:prstGeom prst="rect">
                      <a:avLst/>
                    </a:prstGeom>
                  </pic:spPr>
                </pic:pic>
              </a:graphicData>
            </a:graphic>
          </wp:inline>
        </w:drawing>
      </w:r>
    </w:p>
    <w:p w14:paraId="40984330" w14:textId="77777777" w:rsidR="00C601AB" w:rsidRDefault="001F3095">
      <w:pPr>
        <w:spacing w:after="240"/>
        <w:jc w:val="center"/>
      </w:pPr>
      <w:r>
        <w:rPr>
          <w:i/>
          <w:iCs/>
          <w:color w:val="666666"/>
          <w:sz w:val="18"/>
          <w:szCs w:val="18"/>
        </w:rPr>
        <w:t>Exhibit 4.1 — Three Horizons roadmap, 36-month view</w:t>
      </w:r>
    </w:p>
    <w:p w14:paraId="2C565EE8" w14:textId="77777777" w:rsidR="00C601AB" w:rsidRDefault="001F3095">
      <w:pPr>
        <w:pStyle w:val="Heading2"/>
      </w:pPr>
      <w:bookmarkStart w:id="23" w:name="_Toc236834018"/>
      <w:r>
        <w:t>4.1 Growth levers by horizon</w:t>
      </w:r>
      <w:bookmarkEnd w:id="23"/>
    </w:p>
    <w:p w14:paraId="0883B54A" w14:textId="77777777" w:rsidR="00C601AB" w:rsidRDefault="001F3095">
      <w:pPr>
        <w:pStyle w:val="Heading3"/>
      </w:pPr>
      <w:bookmarkStart w:id="24" w:name="_Toc236834019"/>
      <w:r>
        <w:t>Customer acquisition</w:t>
      </w:r>
      <w:bookmarkEnd w:id="24"/>
    </w:p>
    <w:p w14:paraId="3FCE848A" w14:textId="77777777" w:rsidR="00C601AB" w:rsidRDefault="001F3095">
      <w:pPr>
        <w:spacing w:after="160" w:line="300" w:lineRule="auto"/>
      </w:pPr>
      <w:r>
        <w:t>Y1: Banglalink-base onboarding (SIM-linked, in-store activation). Y2: Bangla QR-enabled acquisition beyond Banglalink base. Y3: Selective open-market acquisition where NEO PSP's differentiated proposition is provable.</w:t>
      </w:r>
    </w:p>
    <w:p w14:paraId="70BF85DC" w14:textId="77777777" w:rsidR="00C601AB" w:rsidRDefault="001F3095">
      <w:pPr>
        <w:pStyle w:val="Heading3"/>
      </w:pPr>
      <w:bookmarkStart w:id="25" w:name="_Toc236834020"/>
      <w:r>
        <w:t>Merchant acquisition</w:t>
      </w:r>
      <w:bookmarkEnd w:id="25"/>
    </w:p>
    <w:p w14:paraId="7E7F400E" w14:textId="77777777" w:rsidR="00C601AB" w:rsidRDefault="001F3095">
      <w:pPr>
        <w:spacing w:after="160" w:line="300" w:lineRule="auto"/>
      </w:pPr>
      <w:r>
        <w:t>Y1: SME merchants already in Banglalink's enterprise relationships — highest priority, highest capital intensity lever. Y2: Agent-assisted onboarding in underserved regions. Y3: Mid-size enterprise merchant relationships.</w:t>
      </w:r>
    </w:p>
    <w:p w14:paraId="72C95218" w14:textId="77777777" w:rsidR="00C601AB" w:rsidRDefault="001F3095">
      <w:pPr>
        <w:pStyle w:val="Heading3"/>
      </w:pPr>
      <w:bookmarkStart w:id="26" w:name="_Toc236834021"/>
      <w:r>
        <w:t>Digital ecosystem partnerships</w:t>
      </w:r>
      <w:bookmarkEnd w:id="26"/>
    </w:p>
    <w:p w14:paraId="305F4A0C" w14:textId="77777777" w:rsidR="00C601AB" w:rsidRDefault="001F3095">
      <w:pPr>
        <w:spacing w:after="160" w:line="300" w:lineRule="auto"/>
      </w:pPr>
      <w:r>
        <w:t>Y1: Settlement banks and Huawei integration (foundational). Y2: E-commerce gateway partnerships. Y3: Open banking/PISP ecosystem participation as the framework matures.</w:t>
      </w:r>
    </w:p>
    <w:p w14:paraId="52A8746B" w14:textId="77777777" w:rsidR="00C601AB" w:rsidRDefault="001F3095">
      <w:pPr>
        <w:pStyle w:val="Heading3"/>
      </w:pPr>
      <w:bookmarkStart w:id="27" w:name="_Toc236834022"/>
      <w:r>
        <w:t>Telecom integration opportunities</w:t>
      </w:r>
      <w:bookmarkEnd w:id="27"/>
    </w:p>
    <w:p w14:paraId="23870058" w14:textId="77777777" w:rsidR="00C601AB" w:rsidRDefault="001F3095">
      <w:pPr>
        <w:spacing w:after="160" w:line="300" w:lineRule="auto"/>
      </w:pPr>
      <w:r>
        <w:t>NEO PSP's most defensible lever. Y1: SIM-linked activation, bill payment convergence. Y2: Bundled data/payments propositions as a Banglalink retention tool. Y3: VEON cross-market template replication.</w:t>
      </w:r>
    </w:p>
    <w:p w14:paraId="0D24F0C9" w14:textId="77777777" w:rsidR="00C601AB" w:rsidRDefault="001F3095">
      <w:pPr>
        <w:pStyle w:val="Heading3"/>
      </w:pPr>
      <w:bookmarkStart w:id="28" w:name="_Toc236834023"/>
      <w:r>
        <w:t>Loyalty strategy</w:t>
      </w:r>
      <w:bookmarkEnd w:id="28"/>
    </w:p>
    <w:p w14:paraId="5D360710" w14:textId="77777777" w:rsidR="00C601AB" w:rsidRDefault="001F3095">
      <w:pPr>
        <w:spacing w:after="160" w:line="300" w:lineRule="auto"/>
      </w:pPr>
      <w:r>
        <w:t>Y1: Deliberately deferred beyond basic onboarding incentives. Y2: Unified Banglalink–NEO PSP loyalty construct. Y3: Tiered loyalty linked to SME merchant volume.</w:t>
      </w:r>
    </w:p>
    <w:p w14:paraId="7D81782F" w14:textId="77777777" w:rsidR="000811BE" w:rsidRDefault="000811BE">
      <w:pPr>
        <w:rPr>
          <w:b/>
          <w:bCs/>
          <w:color w:val="0F6E56"/>
          <w:sz w:val="23"/>
          <w:szCs w:val="23"/>
        </w:rPr>
      </w:pPr>
      <w:bookmarkStart w:id="29" w:name="_Toc236834024"/>
      <w:r>
        <w:br w:type="page"/>
      </w:r>
    </w:p>
    <w:p w14:paraId="7CB9EBEB" w14:textId="0420E86E" w:rsidR="00C601AB" w:rsidRDefault="001F3095">
      <w:pPr>
        <w:pStyle w:val="Heading3"/>
      </w:pPr>
      <w:r>
        <w:lastRenderedPageBreak/>
        <w:t>SME opportunities</w:t>
      </w:r>
      <w:bookmarkEnd w:id="29"/>
    </w:p>
    <w:p w14:paraId="039C80EC" w14:textId="77777777" w:rsidR="00C601AB" w:rsidRDefault="001F3095">
      <w:pPr>
        <w:spacing w:after="160" w:line="300" w:lineRule="auto"/>
      </w:pPr>
      <w:r>
        <w:t>Y1: SME acceptance plus early payroll pilots. Y2: Full SME disbursement product line — the white-space gap from Section 3. Y3: Transaction-data-based credit referrals to partner banks/NBFIs.</w:t>
      </w:r>
    </w:p>
    <w:p w14:paraId="260A9C9A" w14:textId="77777777" w:rsidR="00C601AB" w:rsidRDefault="001F3095">
      <w:pPr>
        <w:pStyle w:val="Heading3"/>
      </w:pPr>
      <w:bookmarkStart w:id="30" w:name="_Toc236834025"/>
      <w:r>
        <w:t>Data-driven personalization</w:t>
      </w:r>
      <w:bookmarkEnd w:id="30"/>
    </w:p>
    <w:p w14:paraId="002682A3" w14:textId="77777777" w:rsidR="00C601AB" w:rsidRDefault="001F3095">
      <w:pPr>
        <w:spacing w:after="160" w:line="300" w:lineRule="auto"/>
      </w:pPr>
      <w:r>
        <w:t>Y1: Foundational data infrastructure only. Y2: Merchant-side personalization (faster payback than consumer). Y3: Consumer-side personalization combining transaction and telecom usage data.</w:t>
      </w:r>
    </w:p>
    <w:p w14:paraId="606E4DA7" w14:textId="77777777" w:rsidR="00C601AB" w:rsidRDefault="001F3095">
      <w:pPr>
        <w:pStyle w:val="Heading3"/>
      </w:pPr>
      <w:bookmarkStart w:id="31" w:name="_Toc236834026"/>
      <w:r>
        <w:t>Cross-selling concepts</w:t>
      </w:r>
      <w:bookmarkEnd w:id="31"/>
    </w:p>
    <w:p w14:paraId="02A5E07B" w14:textId="77777777" w:rsidR="00C601AB" w:rsidRDefault="001F3095">
      <w:pPr>
        <w:spacing w:after="160" w:line="300" w:lineRule="auto"/>
      </w:pPr>
      <w:r>
        <w:t>Y1: Telecom-to-payments only. Y2: Payments-to-telecom begins. Y3: Third-party product distribution (insurance, micro-savings) without NEO PSP carrying product risk.</w:t>
      </w:r>
    </w:p>
    <w:p w14:paraId="30A18442" w14:textId="77777777" w:rsidR="00C601AB" w:rsidRDefault="001F3095">
      <w:pPr>
        <w:pStyle w:val="Heading2"/>
      </w:pPr>
      <w:bookmarkStart w:id="32" w:name="_Toc236834027"/>
      <w:r>
        <w:t>4.2 Prioritization: Impact vs. Implementation Complexity</w:t>
      </w:r>
      <w:bookmarkEnd w:id="32"/>
    </w:p>
    <w:p w14:paraId="3F5BACF3" w14:textId="77777777" w:rsidR="00C601AB" w:rsidRDefault="001F3095">
      <w:pPr>
        <w:spacing w:before="200" w:after="60"/>
        <w:jc w:val="center"/>
      </w:pPr>
      <w:r>
        <w:rPr>
          <w:noProof/>
        </w:rPr>
        <w:drawing>
          <wp:inline distT="0" distB="0" distL="0" distR="0" wp14:anchorId="44577081" wp14:editId="6983CED1">
            <wp:extent cx="4762500" cy="4133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4133850"/>
                    </a:xfrm>
                    <a:prstGeom prst="rect">
                      <a:avLst/>
                    </a:prstGeom>
                  </pic:spPr>
                </pic:pic>
              </a:graphicData>
            </a:graphic>
          </wp:inline>
        </w:drawing>
      </w:r>
    </w:p>
    <w:p w14:paraId="3B06B002" w14:textId="77777777" w:rsidR="00C601AB" w:rsidRDefault="001F3095">
      <w:pPr>
        <w:spacing w:after="240"/>
        <w:jc w:val="center"/>
      </w:pPr>
      <w:r>
        <w:rPr>
          <w:i/>
          <w:iCs/>
          <w:color w:val="666666"/>
          <w:sz w:val="18"/>
          <w:szCs w:val="18"/>
        </w:rPr>
        <w:t>Exhibit 4.2 — Impact vs. Complexity matrix across growth initiatives</w:t>
      </w:r>
    </w:p>
    <w:p w14:paraId="0A9B0C61" w14:textId="77777777" w:rsidR="00C601AB" w:rsidRDefault="001F3095">
      <w:pPr>
        <w:spacing w:after="160" w:line="300" w:lineRule="auto"/>
      </w:pPr>
      <w:r>
        <w:t>Nine of the initiatives mapped are executable in Year 1 without waiting on scale, data, or regulatory maturity — these should absorb the bulk of Horizon 1 management bandwidth. The 'Reconsider / Defer' cluster is not lower-value, it's sequence-dependent: each requires a precondition (data volume, regulatory framework, partner integration) that doesn't exist yet.</w:t>
      </w:r>
    </w:p>
    <w:p w14:paraId="79369BEF" w14:textId="77777777" w:rsidR="00C601AB" w:rsidRDefault="001F3095">
      <w:r>
        <w:br w:type="page"/>
      </w:r>
    </w:p>
    <w:p w14:paraId="3F091097" w14:textId="77777777" w:rsidR="00C601AB" w:rsidRDefault="001F3095">
      <w:pPr>
        <w:pStyle w:val="Heading1"/>
      </w:pPr>
      <w:bookmarkStart w:id="33" w:name="_Toc236834028"/>
      <w:r>
        <w:lastRenderedPageBreak/>
        <w:t>5. Conceptual Business Model</w:t>
      </w:r>
      <w:bookmarkEnd w:id="33"/>
    </w:p>
    <w:p w14:paraId="59CE58EE" w14:textId="77777777" w:rsidR="00C601AB" w:rsidRDefault="001F3095">
      <w:pPr>
        <w:pBdr>
          <w:left w:val="single" w:sz="18" w:space="8" w:color="D85A30"/>
        </w:pBdr>
        <w:spacing w:after="220" w:line="300" w:lineRule="auto"/>
        <w:ind w:left="200"/>
      </w:pPr>
      <w:r>
        <w:rPr>
          <w:b/>
          <w:bCs/>
          <w:i/>
          <w:iCs/>
          <w:color w:val="1B2A4A"/>
        </w:rPr>
        <w:t xml:space="preserve">Governing thought: </w:t>
      </w:r>
      <w:r>
        <w:rPr>
          <w:i/>
          <w:iCs/>
          <w:color w:val="333333"/>
        </w:rPr>
        <w:t>A PSP business model is inherently two-sided (payer and merchant), with a third dependency layer — the regulator/settlement-bank relationship — the business literally cannot operate without. This adapted canvas keeps the classic nine blocks and adds a tenth: Key Metrics.</w:t>
      </w:r>
    </w:p>
    <w:p w14:paraId="5C3687C3" w14:textId="77777777" w:rsidR="00C601AB" w:rsidRDefault="001F3095">
      <w:pPr>
        <w:spacing w:before="200" w:after="60"/>
        <w:jc w:val="center"/>
      </w:pPr>
      <w:r>
        <w:rPr>
          <w:noProof/>
        </w:rPr>
        <w:drawing>
          <wp:inline distT="0" distB="0" distL="0" distR="0" wp14:anchorId="00A20C7C" wp14:editId="63C59B61">
            <wp:extent cx="5334000" cy="3305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05175"/>
                    </a:xfrm>
                    <a:prstGeom prst="rect">
                      <a:avLst/>
                    </a:prstGeom>
                  </pic:spPr>
                </pic:pic>
              </a:graphicData>
            </a:graphic>
          </wp:inline>
        </w:drawing>
      </w:r>
    </w:p>
    <w:p w14:paraId="330333DC" w14:textId="77777777" w:rsidR="00C601AB" w:rsidRDefault="001F3095">
      <w:pPr>
        <w:spacing w:after="240"/>
        <w:jc w:val="center"/>
      </w:pPr>
      <w:r>
        <w:rPr>
          <w:i/>
          <w:iCs/>
          <w:color w:val="666666"/>
          <w:sz w:val="18"/>
          <w:szCs w:val="18"/>
        </w:rPr>
        <w:t>Exhibit 5.1 — NEO PSP Business Model Canvas (adapted for digital financial services)</w:t>
      </w:r>
    </w:p>
    <w:p w14:paraId="1CE9479B" w14:textId="77777777" w:rsidR="00C601AB" w:rsidRDefault="001F3095">
      <w:pPr>
        <w:pStyle w:val="Heading2"/>
      </w:pPr>
      <w:bookmarkStart w:id="34" w:name="_Toc236834029"/>
      <w:r>
        <w:t>5.1 Revenue streams</w:t>
      </w:r>
      <w:bookmarkEnd w:id="34"/>
    </w:p>
    <w:p w14:paraId="3C6CC021" w14:textId="77777777" w:rsidR="00C601AB" w:rsidRDefault="001F3095">
      <w:pPr>
        <w:pStyle w:val="ListParagraph"/>
        <w:numPr>
          <w:ilvl w:val="0"/>
          <w:numId w:val="1"/>
        </w:numPr>
        <w:spacing w:after="100" w:line="290" w:lineRule="auto"/>
      </w:pPr>
      <w:r>
        <w:t>Merchant discount rate (MDR) on transaction acceptance — centrally floored at 1% under Bangla QR, a predictable, regulator-anchored line.</w:t>
      </w:r>
    </w:p>
    <w:p w14:paraId="33137C05" w14:textId="77777777" w:rsidR="00C601AB" w:rsidRDefault="001F3095">
      <w:pPr>
        <w:pStyle w:val="ListParagraph"/>
        <w:numPr>
          <w:ilvl w:val="0"/>
          <w:numId w:val="1"/>
        </w:numPr>
        <w:spacing w:after="100" w:line="290" w:lineRule="auto"/>
      </w:pPr>
      <w:r>
        <w:t>B2B/enterprise disbursement fees (payroll, vendor payments) — the differentiated, higher-margin line versus commoditized consumer MDR.</w:t>
      </w:r>
    </w:p>
    <w:p w14:paraId="0D8990FB" w14:textId="77777777" w:rsidR="00C601AB" w:rsidRDefault="001F3095">
      <w:pPr>
        <w:pStyle w:val="ListParagraph"/>
        <w:numPr>
          <w:ilvl w:val="0"/>
          <w:numId w:val="1"/>
        </w:numPr>
        <w:spacing w:after="100" w:line="290" w:lineRule="auto"/>
      </w:pPr>
      <w:r>
        <w:t>Remittance fees (PSPs now permitted to bring inward wage remittance).</w:t>
      </w:r>
    </w:p>
    <w:p w14:paraId="718B9365" w14:textId="77777777" w:rsidR="00C601AB" w:rsidRDefault="001F3095">
      <w:pPr>
        <w:pStyle w:val="ListParagraph"/>
        <w:numPr>
          <w:ilvl w:val="0"/>
          <w:numId w:val="1"/>
        </w:numPr>
        <w:spacing w:after="100" w:line="290" w:lineRule="auto"/>
      </w:pPr>
      <w:r>
        <w:t>Gateway/API fees from e-commerce and platform integrations (Horizon 2).</w:t>
      </w:r>
    </w:p>
    <w:p w14:paraId="12A27BF6" w14:textId="77777777" w:rsidR="00C601AB" w:rsidRDefault="001F3095">
      <w:pPr>
        <w:pStyle w:val="ListParagraph"/>
        <w:numPr>
          <w:ilvl w:val="0"/>
          <w:numId w:val="1"/>
        </w:numPr>
        <w:spacing w:after="100" w:line="290" w:lineRule="auto"/>
      </w:pPr>
      <w:r>
        <w:t>Data/referral monetization with partner banks/NBFIs (Horizon 3).</w:t>
      </w:r>
    </w:p>
    <w:p w14:paraId="7E7A3FFD" w14:textId="77777777" w:rsidR="00C601AB" w:rsidRDefault="001F3095">
      <w:pPr>
        <w:pStyle w:val="Heading2"/>
      </w:pPr>
      <w:bookmarkStart w:id="35" w:name="_Toc236834030"/>
      <w:r>
        <w:t>5.2 Cost structure</w:t>
      </w:r>
      <w:bookmarkEnd w:id="35"/>
    </w:p>
    <w:p w14:paraId="32F5D2E2" w14:textId="77777777" w:rsidR="00C601AB" w:rsidRDefault="001F3095">
      <w:pPr>
        <w:spacing w:after="160" w:line="300" w:lineRule="auto"/>
      </w:pPr>
      <w:r>
        <w:t>Acquisition-driven in Horizon 1–2 (merchant acquisition cost is the largest controllable line), shifting toward volume-driven/marginal cost in Horizon 3 as the interoperable rail and existing merchant base generate recurring revenue at low incremental cost. Major lines: merchant acquisition, platform/technology (Huawei), compliance and licensing, settlement/processing, and talent build for capabilities Banglalink hasn't previously operated at this intensity.</w:t>
      </w:r>
    </w:p>
    <w:p w14:paraId="1BA7F940" w14:textId="77777777" w:rsidR="00C601AB" w:rsidRDefault="001F3095">
      <w:pPr>
        <w:pStyle w:val="Heading2"/>
      </w:pPr>
      <w:bookmarkStart w:id="36" w:name="_Toc236834031"/>
      <w:r>
        <w:t>5.3 Key partners, resources, and activities</w:t>
      </w:r>
      <w:bookmarkEnd w:id="36"/>
    </w:p>
    <w:p w14:paraId="1611DB3A" w14:textId="77777777" w:rsidR="00C601AB" w:rsidRDefault="001F3095">
      <w:pPr>
        <w:spacing w:after="160" w:line="300" w:lineRule="auto"/>
      </w:pPr>
      <w:r>
        <w:lastRenderedPageBreak/>
        <w:t xml:space="preserve">Key partners: Bangladesh Bank, Huawei, settlement/scheduled commercial banks, Banglalink enterprise/SME clients, prospective e-commerce and open-banking ecosystem partners. Key resources: Banglalink's distribution footprint, VEON's balance sheet, the Huawei-built platform, the Bangladesh Bank PSP license, combined telecom + transaction data, and the </w:t>
      </w:r>
      <w:proofErr w:type="spellStart"/>
      <w:r>
        <w:t>Mukto</w:t>
      </w:r>
      <w:proofErr w:type="spellEnd"/>
      <w:r>
        <w:t xml:space="preserve"> Pay brand. Key activities: merchant acquisition and onboarding, platform operation and reliability, regulatory relationship management, settlement operations, and data governance/fraud monitoring.</w:t>
      </w:r>
    </w:p>
    <w:p w14:paraId="461404C8" w14:textId="77777777" w:rsidR="00C601AB" w:rsidRDefault="001F3095">
      <w:pPr>
        <w:pStyle w:val="Heading2"/>
      </w:pPr>
      <w:bookmarkStart w:id="37" w:name="_Toc236834032"/>
      <w:r>
        <w:t>5.4 Key metrics</w:t>
      </w:r>
      <w:bookmarkEnd w:id="3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700"/>
      </w:tblGrid>
      <w:tr w:rsidR="00C601AB" w14:paraId="0DCA6BF9" w14:textId="77777777">
        <w:trPr>
          <w:tblHeader/>
        </w:trPr>
        <w:tc>
          <w:tcPr>
            <w:tcW w:w="3300" w:type="dxa"/>
            <w:shd w:val="clear" w:color="auto" w:fill="1B2A4A"/>
            <w:tcMar>
              <w:top w:w="80" w:type="dxa"/>
              <w:left w:w="100" w:type="dxa"/>
              <w:bottom w:w="80" w:type="dxa"/>
              <w:right w:w="100" w:type="dxa"/>
            </w:tcMar>
            <w:vAlign w:val="center"/>
          </w:tcPr>
          <w:p w14:paraId="090835CA" w14:textId="77777777" w:rsidR="00C601AB" w:rsidRDefault="001F3095">
            <w:r>
              <w:rPr>
                <w:b/>
                <w:bCs/>
                <w:color w:val="FFFFFF"/>
                <w:sz w:val="18"/>
                <w:szCs w:val="18"/>
              </w:rPr>
              <w:t>Metric</w:t>
            </w:r>
          </w:p>
        </w:tc>
        <w:tc>
          <w:tcPr>
            <w:tcW w:w="6700" w:type="dxa"/>
            <w:shd w:val="clear" w:color="auto" w:fill="1B2A4A"/>
            <w:tcMar>
              <w:top w:w="80" w:type="dxa"/>
              <w:left w:w="100" w:type="dxa"/>
              <w:bottom w:w="80" w:type="dxa"/>
              <w:right w:w="100" w:type="dxa"/>
            </w:tcMar>
            <w:vAlign w:val="center"/>
          </w:tcPr>
          <w:p w14:paraId="1B0444A7" w14:textId="77777777" w:rsidR="00C601AB" w:rsidRDefault="001F3095">
            <w:r>
              <w:rPr>
                <w:b/>
                <w:bCs/>
                <w:color w:val="FFFFFF"/>
                <w:sz w:val="18"/>
                <w:szCs w:val="18"/>
              </w:rPr>
              <w:t>Why it matters early</w:t>
            </w:r>
          </w:p>
        </w:tc>
      </w:tr>
      <w:tr w:rsidR="00C601AB" w14:paraId="66083471" w14:textId="77777777">
        <w:tc>
          <w:tcPr>
            <w:tcW w:w="3300" w:type="dxa"/>
            <w:tcMar>
              <w:top w:w="80" w:type="dxa"/>
              <w:left w:w="100" w:type="dxa"/>
              <w:bottom w:w="80" w:type="dxa"/>
              <w:right w:w="100" w:type="dxa"/>
            </w:tcMar>
            <w:vAlign w:val="center"/>
          </w:tcPr>
          <w:p w14:paraId="299CF6DE" w14:textId="77777777" w:rsidR="00C601AB" w:rsidRDefault="001F3095">
            <w:r>
              <w:rPr>
                <w:color w:val="222222"/>
                <w:sz w:val="18"/>
                <w:szCs w:val="18"/>
              </w:rPr>
              <w:t>Active merchant count &amp; retention</w:t>
            </w:r>
          </w:p>
        </w:tc>
        <w:tc>
          <w:tcPr>
            <w:tcW w:w="6700" w:type="dxa"/>
            <w:tcMar>
              <w:top w:w="80" w:type="dxa"/>
              <w:left w:w="100" w:type="dxa"/>
              <w:bottom w:w="80" w:type="dxa"/>
              <w:right w:w="100" w:type="dxa"/>
            </w:tcMar>
            <w:vAlign w:val="center"/>
          </w:tcPr>
          <w:p w14:paraId="05B75A19" w14:textId="77777777" w:rsidR="00C601AB" w:rsidRDefault="001F3095">
            <w:r>
              <w:rPr>
                <w:color w:val="222222"/>
                <w:sz w:val="18"/>
                <w:szCs w:val="18"/>
              </w:rPr>
              <w:t>Merchant density drives the interoperable network's usefulness — a leading, not lagging, indicator</w:t>
            </w:r>
          </w:p>
        </w:tc>
      </w:tr>
      <w:tr w:rsidR="00C601AB" w14:paraId="41F51561" w14:textId="77777777">
        <w:tc>
          <w:tcPr>
            <w:tcW w:w="3300" w:type="dxa"/>
            <w:tcMar>
              <w:top w:w="80" w:type="dxa"/>
              <w:left w:w="100" w:type="dxa"/>
              <w:bottom w:w="80" w:type="dxa"/>
              <w:right w:w="100" w:type="dxa"/>
            </w:tcMar>
            <w:vAlign w:val="center"/>
          </w:tcPr>
          <w:p w14:paraId="63D0B834" w14:textId="77777777" w:rsidR="00C601AB" w:rsidRDefault="001F3095">
            <w:r>
              <w:rPr>
                <w:color w:val="222222"/>
                <w:sz w:val="18"/>
                <w:szCs w:val="18"/>
              </w:rPr>
              <w:t>Transaction volume per active merchant</w:t>
            </w:r>
          </w:p>
        </w:tc>
        <w:tc>
          <w:tcPr>
            <w:tcW w:w="6700" w:type="dxa"/>
            <w:tcMar>
              <w:top w:w="80" w:type="dxa"/>
              <w:left w:w="100" w:type="dxa"/>
              <w:bottom w:w="80" w:type="dxa"/>
              <w:right w:w="100" w:type="dxa"/>
            </w:tcMar>
            <w:vAlign w:val="center"/>
          </w:tcPr>
          <w:p w14:paraId="593784F8" w14:textId="77777777" w:rsidR="00C601AB" w:rsidRDefault="001F3095">
            <w:r>
              <w:rPr>
                <w:color w:val="222222"/>
                <w:sz w:val="18"/>
                <w:szCs w:val="18"/>
              </w:rPr>
              <w:t>Distinguishes genuine usage from onboarded-but-dormant merchants</w:t>
            </w:r>
          </w:p>
        </w:tc>
      </w:tr>
      <w:tr w:rsidR="00C601AB" w14:paraId="1FCCEB1C" w14:textId="77777777">
        <w:tc>
          <w:tcPr>
            <w:tcW w:w="3300" w:type="dxa"/>
            <w:tcMar>
              <w:top w:w="80" w:type="dxa"/>
              <w:left w:w="100" w:type="dxa"/>
              <w:bottom w:w="80" w:type="dxa"/>
              <w:right w:w="100" w:type="dxa"/>
            </w:tcMar>
            <w:vAlign w:val="center"/>
          </w:tcPr>
          <w:p w14:paraId="72420AAB" w14:textId="77777777" w:rsidR="00C601AB" w:rsidRDefault="001F3095">
            <w:r>
              <w:rPr>
                <w:color w:val="222222"/>
                <w:sz w:val="18"/>
                <w:szCs w:val="18"/>
              </w:rPr>
              <w:t>Customer-to-transacting-user conversion</w:t>
            </w:r>
          </w:p>
        </w:tc>
        <w:tc>
          <w:tcPr>
            <w:tcW w:w="6700" w:type="dxa"/>
            <w:tcMar>
              <w:top w:w="80" w:type="dxa"/>
              <w:left w:w="100" w:type="dxa"/>
              <w:bottom w:w="80" w:type="dxa"/>
              <w:right w:w="100" w:type="dxa"/>
            </w:tcMar>
            <w:vAlign w:val="center"/>
          </w:tcPr>
          <w:p w14:paraId="6AA0398E" w14:textId="77777777" w:rsidR="00C601AB" w:rsidRDefault="001F3095">
            <w:r>
              <w:rPr>
                <w:color w:val="222222"/>
                <w:sz w:val="18"/>
                <w:szCs w:val="18"/>
              </w:rPr>
              <w:t>Given near-zero-CAC acquisition, the real cost is in conversion, not sign-up</w:t>
            </w:r>
          </w:p>
        </w:tc>
      </w:tr>
      <w:tr w:rsidR="00C601AB" w14:paraId="62D00BB1" w14:textId="77777777">
        <w:tc>
          <w:tcPr>
            <w:tcW w:w="3300" w:type="dxa"/>
            <w:tcMar>
              <w:top w:w="80" w:type="dxa"/>
              <w:left w:w="100" w:type="dxa"/>
              <w:bottom w:w="80" w:type="dxa"/>
              <w:right w:w="100" w:type="dxa"/>
            </w:tcMar>
            <w:vAlign w:val="center"/>
          </w:tcPr>
          <w:p w14:paraId="13644194" w14:textId="77777777" w:rsidR="00C601AB" w:rsidRDefault="001F3095">
            <w:r>
              <w:rPr>
                <w:color w:val="222222"/>
                <w:sz w:val="18"/>
                <w:szCs w:val="18"/>
              </w:rPr>
              <w:t>B2B disbursement volume</w:t>
            </w:r>
          </w:p>
        </w:tc>
        <w:tc>
          <w:tcPr>
            <w:tcW w:w="6700" w:type="dxa"/>
            <w:tcMar>
              <w:top w:w="80" w:type="dxa"/>
              <w:left w:w="100" w:type="dxa"/>
              <w:bottom w:w="80" w:type="dxa"/>
              <w:right w:w="100" w:type="dxa"/>
            </w:tcMar>
            <w:vAlign w:val="center"/>
          </w:tcPr>
          <w:p w14:paraId="08348B48" w14:textId="77777777" w:rsidR="00C601AB" w:rsidRDefault="001F3095">
            <w:r>
              <w:rPr>
                <w:color w:val="222222"/>
                <w:sz w:val="18"/>
                <w:szCs w:val="18"/>
              </w:rPr>
              <w:t>Tracks the differentiated white-space opportunity separately from commodity MDR</w:t>
            </w:r>
          </w:p>
        </w:tc>
      </w:tr>
      <w:tr w:rsidR="00C601AB" w14:paraId="2A0CB386" w14:textId="77777777">
        <w:tc>
          <w:tcPr>
            <w:tcW w:w="3300" w:type="dxa"/>
            <w:tcMar>
              <w:top w:w="80" w:type="dxa"/>
              <w:left w:w="100" w:type="dxa"/>
              <w:bottom w:w="80" w:type="dxa"/>
              <w:right w:w="100" w:type="dxa"/>
            </w:tcMar>
            <w:vAlign w:val="center"/>
          </w:tcPr>
          <w:p w14:paraId="625D6A87" w14:textId="77777777" w:rsidR="00C601AB" w:rsidRDefault="001F3095">
            <w:r>
              <w:rPr>
                <w:color w:val="222222"/>
                <w:sz w:val="18"/>
                <w:szCs w:val="18"/>
              </w:rPr>
              <w:t>Cost per active merchant acquired</w:t>
            </w:r>
          </w:p>
        </w:tc>
        <w:tc>
          <w:tcPr>
            <w:tcW w:w="6700" w:type="dxa"/>
            <w:tcMar>
              <w:top w:w="80" w:type="dxa"/>
              <w:left w:w="100" w:type="dxa"/>
              <w:bottom w:w="80" w:type="dxa"/>
              <w:right w:w="100" w:type="dxa"/>
            </w:tcMar>
            <w:vAlign w:val="center"/>
          </w:tcPr>
          <w:p w14:paraId="34CCA618" w14:textId="77777777" w:rsidR="00C601AB" w:rsidRDefault="001F3095">
            <w:r>
              <w:rPr>
                <w:color w:val="222222"/>
                <w:sz w:val="18"/>
                <w:szCs w:val="18"/>
              </w:rPr>
              <w:t>Governs Horizon 1–2 capital discipline directly</w:t>
            </w:r>
          </w:p>
        </w:tc>
      </w:tr>
      <w:tr w:rsidR="00C601AB" w14:paraId="4ADB331D" w14:textId="77777777">
        <w:tc>
          <w:tcPr>
            <w:tcW w:w="3300" w:type="dxa"/>
            <w:tcMar>
              <w:top w:w="80" w:type="dxa"/>
              <w:left w:w="100" w:type="dxa"/>
              <w:bottom w:w="80" w:type="dxa"/>
              <w:right w:w="100" w:type="dxa"/>
            </w:tcMar>
            <w:vAlign w:val="center"/>
          </w:tcPr>
          <w:p w14:paraId="444FD620" w14:textId="77777777" w:rsidR="00C601AB" w:rsidRDefault="001F3095">
            <w:r>
              <w:rPr>
                <w:color w:val="222222"/>
                <w:sz w:val="18"/>
                <w:szCs w:val="18"/>
              </w:rPr>
              <w:t>Settlement reliability / uptime</w:t>
            </w:r>
          </w:p>
        </w:tc>
        <w:tc>
          <w:tcPr>
            <w:tcW w:w="6700" w:type="dxa"/>
            <w:tcMar>
              <w:top w:w="80" w:type="dxa"/>
              <w:left w:w="100" w:type="dxa"/>
              <w:bottom w:w="80" w:type="dxa"/>
              <w:right w:w="100" w:type="dxa"/>
            </w:tcMar>
            <w:vAlign w:val="center"/>
          </w:tcPr>
          <w:p w14:paraId="45D6572D" w14:textId="77777777" w:rsidR="00C601AB" w:rsidRDefault="001F3095">
            <w:r>
              <w:rPr>
                <w:color w:val="222222"/>
                <w:sz w:val="18"/>
                <w:szCs w:val="18"/>
              </w:rPr>
              <w:t>A trust metric with outsized strategic weight</w:t>
            </w:r>
          </w:p>
        </w:tc>
      </w:tr>
    </w:tbl>
    <w:p w14:paraId="5644AA3D" w14:textId="77777777" w:rsidR="00C601AB" w:rsidRDefault="00C601AB">
      <w:pPr>
        <w:spacing w:after="160" w:line="300" w:lineRule="auto"/>
      </w:pPr>
    </w:p>
    <w:p w14:paraId="2343C3AC" w14:textId="77777777" w:rsidR="00C601AB" w:rsidRDefault="001F3095">
      <w:pPr>
        <w:spacing w:after="160" w:line="300" w:lineRule="auto"/>
      </w:pPr>
      <w:r>
        <w:t>This metric set should be operationalized directly in the standalone KPI Dashboard deliverable.</w:t>
      </w:r>
    </w:p>
    <w:p w14:paraId="53F03953" w14:textId="77777777" w:rsidR="0032767E" w:rsidRDefault="0032767E" w:rsidP="0032767E">
      <w:pPr>
        <w:pStyle w:val="Heading1"/>
      </w:pPr>
      <w:bookmarkStart w:id="38" w:name="_Toc236834033"/>
      <w:r>
        <w:t>Phased Implementation Roadmap</w:t>
      </w:r>
      <w:bookmarkEnd w:id="38"/>
    </w:p>
    <w:p w14:paraId="41D40356" w14:textId="77777777" w:rsidR="0032767E" w:rsidRDefault="0032767E" w:rsidP="0032767E">
      <w:pPr>
        <w:pBdr>
          <w:left w:val="single" w:sz="18" w:space="8" w:color="D85A30"/>
        </w:pBdr>
        <w:spacing w:after="220" w:line="300" w:lineRule="auto"/>
        <w:ind w:left="200"/>
      </w:pPr>
      <w:r>
        <w:rPr>
          <w:b/>
          <w:bCs/>
          <w:i/>
          <w:iCs/>
          <w:color w:val="1B2A4A"/>
        </w:rPr>
        <w:t xml:space="preserve">Governing thought: </w:t>
      </w:r>
      <w:r>
        <w:rPr>
          <w:i/>
          <w:iCs/>
          <w:color w:val="333333"/>
        </w:rPr>
        <w:t>Each phase has a single governing question it must answer before the next begins: Phase 1 asks 'does the rail work and can we onboard merchants at all,' Phase 2 asks 'does it scale profitably,' Phase 3 asks 'does it compound into an ecosystem.' Moving to the next phase without a clean answer to the current one is the most common way roadmaps like this fail in execution, not in planning.</w:t>
      </w:r>
    </w:p>
    <w:p w14:paraId="7D90E071" w14:textId="77777777" w:rsidR="0032767E" w:rsidRDefault="0032767E" w:rsidP="0032767E">
      <w:pPr>
        <w:spacing w:after="140" w:line="300" w:lineRule="auto"/>
      </w:pPr>
      <w:r>
        <w:t>This roadmap operationalizes the Three Horizons framework (Section 4) into a phase structure aligned to board governance cadence — 6-month, 18-month, and 36-month review gates rather than continuous quarterly re-litigation of strategy.</w:t>
      </w:r>
    </w:p>
    <w:p w14:paraId="39FF45F6" w14:textId="77777777" w:rsidR="0032767E" w:rsidRDefault="0032767E" w:rsidP="0032767E">
      <w:pPr>
        <w:pStyle w:val="Heading2"/>
      </w:pPr>
      <w:bookmarkStart w:id="39" w:name="_Toc236834034"/>
      <w:r>
        <w:t>Phase 1 (0–6 months): Prove the Rail</w:t>
      </w:r>
      <w:bookmarkEnd w:id="39"/>
    </w:p>
    <w:p w14:paraId="112BD266" w14:textId="77777777" w:rsidR="0032767E" w:rsidRDefault="0032767E" w:rsidP="0032767E">
      <w:pPr>
        <w:spacing w:after="140" w:line="300" w:lineRule="auto"/>
      </w:pPr>
      <w:r>
        <w:t>Objective: establish that NEO PSP can onboard merchants, process transactions reliably, and operate within Bangladesh Bank's compliance framework — before committing capital to scale. This is a controlled launch, not a market-wide push.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00"/>
      </w:tblGrid>
      <w:tr w:rsidR="0032767E" w14:paraId="20AB2837" w14:textId="77777777" w:rsidTr="004E473B">
        <w:tblPrEx>
          <w:tblCellMar>
            <w:top w:w="0" w:type="dxa"/>
            <w:bottom w:w="0" w:type="dxa"/>
          </w:tblCellMar>
        </w:tblPrEx>
        <w:trPr>
          <w:tblHeader/>
        </w:trPr>
        <w:tc>
          <w:tcPr>
            <w:tcW w:w="1700" w:type="dxa"/>
            <w:shd w:val="clear" w:color="auto" w:fill="1B2A4A"/>
            <w:tcMar>
              <w:top w:w="90" w:type="dxa"/>
              <w:left w:w="110" w:type="dxa"/>
              <w:bottom w:w="90" w:type="dxa"/>
              <w:right w:w="110" w:type="dxa"/>
            </w:tcMar>
          </w:tcPr>
          <w:p w14:paraId="59335956" w14:textId="77777777" w:rsidR="0032767E" w:rsidRDefault="0032767E" w:rsidP="004E473B">
            <w:pPr>
              <w:spacing w:after="60"/>
            </w:pPr>
          </w:p>
        </w:tc>
        <w:tc>
          <w:tcPr>
            <w:tcW w:w="7600" w:type="dxa"/>
            <w:shd w:val="clear" w:color="auto" w:fill="1B2A4A"/>
            <w:tcMar>
              <w:top w:w="90" w:type="dxa"/>
              <w:left w:w="110" w:type="dxa"/>
              <w:bottom w:w="90" w:type="dxa"/>
              <w:right w:w="110" w:type="dxa"/>
            </w:tcMar>
          </w:tcPr>
          <w:p w14:paraId="21F7209F" w14:textId="77777777" w:rsidR="0032767E" w:rsidRDefault="0032767E" w:rsidP="004E473B">
            <w:pPr>
              <w:spacing w:after="60"/>
            </w:pPr>
            <w:r>
              <w:rPr>
                <w:b/>
                <w:bCs/>
                <w:color w:val="FFFFFF"/>
                <w:sz w:val="18"/>
                <w:szCs w:val="18"/>
              </w:rPr>
              <w:t>Details</w:t>
            </w:r>
          </w:p>
        </w:tc>
      </w:tr>
      <w:tr w:rsidR="0032767E" w14:paraId="22477A43" w14:textId="77777777" w:rsidTr="004E473B">
        <w:tblPrEx>
          <w:tblCellMar>
            <w:top w:w="0" w:type="dxa"/>
            <w:bottom w:w="0" w:type="dxa"/>
          </w:tblCellMar>
        </w:tblPrEx>
        <w:tc>
          <w:tcPr>
            <w:tcW w:w="1700" w:type="dxa"/>
            <w:tcMar>
              <w:top w:w="90" w:type="dxa"/>
              <w:left w:w="110" w:type="dxa"/>
              <w:bottom w:w="90" w:type="dxa"/>
              <w:right w:w="110" w:type="dxa"/>
            </w:tcMar>
          </w:tcPr>
          <w:p w14:paraId="61327F26" w14:textId="77777777" w:rsidR="0032767E" w:rsidRDefault="0032767E" w:rsidP="004E473B">
            <w:pPr>
              <w:spacing w:after="60"/>
            </w:pPr>
            <w:r>
              <w:rPr>
                <w:color w:val="222222"/>
                <w:sz w:val="18"/>
                <w:szCs w:val="18"/>
              </w:rPr>
              <w:t>Objectives</w:t>
            </w:r>
          </w:p>
        </w:tc>
        <w:tc>
          <w:tcPr>
            <w:tcW w:w="7600" w:type="dxa"/>
            <w:tcMar>
              <w:top w:w="90" w:type="dxa"/>
              <w:left w:w="110" w:type="dxa"/>
              <w:bottom w:w="90" w:type="dxa"/>
              <w:right w:w="110" w:type="dxa"/>
            </w:tcMar>
          </w:tcPr>
          <w:p w14:paraId="6944C558" w14:textId="77777777" w:rsidR="0032767E" w:rsidRDefault="0032767E" w:rsidP="0032767E">
            <w:pPr>
              <w:pStyle w:val="ListParagraph"/>
              <w:numPr>
                <w:ilvl w:val="0"/>
                <w:numId w:val="2"/>
              </w:numPr>
              <w:spacing w:after="60"/>
            </w:pPr>
            <w:r>
              <w:rPr>
                <w:color w:val="222222"/>
                <w:sz w:val="18"/>
                <w:szCs w:val="18"/>
              </w:rPr>
              <w:t>Achieve commercial launch approval from Bangladesh Bank following NOC</w:t>
            </w:r>
          </w:p>
          <w:p w14:paraId="0E53BA6E" w14:textId="77777777" w:rsidR="0032767E" w:rsidRDefault="0032767E" w:rsidP="0032767E">
            <w:pPr>
              <w:pStyle w:val="ListParagraph"/>
              <w:numPr>
                <w:ilvl w:val="0"/>
                <w:numId w:val="2"/>
              </w:numPr>
              <w:spacing w:after="60"/>
            </w:pPr>
            <w:r>
              <w:rPr>
                <w:color w:val="222222"/>
                <w:sz w:val="18"/>
                <w:szCs w:val="18"/>
              </w:rPr>
              <w:t xml:space="preserve">Stand up core rail: transfers, bill pay, merchant QR acceptance via </w:t>
            </w:r>
            <w:proofErr w:type="spellStart"/>
            <w:r>
              <w:rPr>
                <w:color w:val="222222"/>
                <w:sz w:val="18"/>
                <w:szCs w:val="18"/>
              </w:rPr>
              <w:t>Mukto</w:t>
            </w:r>
            <w:proofErr w:type="spellEnd"/>
            <w:r>
              <w:rPr>
                <w:color w:val="222222"/>
                <w:sz w:val="18"/>
                <w:szCs w:val="18"/>
              </w:rPr>
              <w:t xml:space="preserve"> Pay/Huawei platform</w:t>
            </w:r>
          </w:p>
          <w:p w14:paraId="3D23D24C" w14:textId="77777777" w:rsidR="0032767E" w:rsidRDefault="0032767E" w:rsidP="0032767E">
            <w:pPr>
              <w:pStyle w:val="ListParagraph"/>
              <w:numPr>
                <w:ilvl w:val="0"/>
                <w:numId w:val="2"/>
              </w:numPr>
              <w:spacing w:after="60"/>
            </w:pPr>
            <w:r>
              <w:rPr>
                <w:color w:val="222222"/>
                <w:sz w:val="18"/>
                <w:szCs w:val="18"/>
              </w:rPr>
              <w:t>Onboard first wave of merchants through Banglalink's existing enterprise relationships</w:t>
            </w:r>
          </w:p>
        </w:tc>
      </w:tr>
      <w:tr w:rsidR="0032767E" w14:paraId="4653E460" w14:textId="77777777" w:rsidTr="004E473B">
        <w:tblPrEx>
          <w:tblCellMar>
            <w:top w:w="0" w:type="dxa"/>
            <w:bottom w:w="0" w:type="dxa"/>
          </w:tblCellMar>
        </w:tblPrEx>
        <w:tc>
          <w:tcPr>
            <w:tcW w:w="1700" w:type="dxa"/>
            <w:tcMar>
              <w:top w:w="90" w:type="dxa"/>
              <w:left w:w="110" w:type="dxa"/>
              <w:bottom w:w="90" w:type="dxa"/>
              <w:right w:w="110" w:type="dxa"/>
            </w:tcMar>
          </w:tcPr>
          <w:p w14:paraId="2B2A2F36" w14:textId="77777777" w:rsidR="0032767E" w:rsidRDefault="0032767E" w:rsidP="004E473B">
            <w:pPr>
              <w:spacing w:after="60"/>
            </w:pPr>
            <w:r>
              <w:rPr>
                <w:color w:val="222222"/>
                <w:sz w:val="18"/>
                <w:szCs w:val="18"/>
              </w:rPr>
              <w:lastRenderedPageBreak/>
              <w:t>Key initiatives</w:t>
            </w:r>
          </w:p>
        </w:tc>
        <w:tc>
          <w:tcPr>
            <w:tcW w:w="7600" w:type="dxa"/>
            <w:tcMar>
              <w:top w:w="90" w:type="dxa"/>
              <w:left w:w="110" w:type="dxa"/>
              <w:bottom w:w="90" w:type="dxa"/>
              <w:right w:w="110" w:type="dxa"/>
            </w:tcMar>
          </w:tcPr>
          <w:p w14:paraId="0C62006A" w14:textId="77777777" w:rsidR="0032767E" w:rsidRDefault="0032767E" w:rsidP="0032767E">
            <w:pPr>
              <w:pStyle w:val="ListParagraph"/>
              <w:numPr>
                <w:ilvl w:val="0"/>
                <w:numId w:val="2"/>
              </w:numPr>
              <w:spacing w:after="60"/>
            </w:pPr>
            <w:r>
              <w:rPr>
                <w:color w:val="222222"/>
                <w:sz w:val="18"/>
                <w:szCs w:val="18"/>
              </w:rPr>
              <w:t>Complete Huawei platform integration and institutional-grade reliability testing</w:t>
            </w:r>
          </w:p>
          <w:p w14:paraId="26B69529" w14:textId="77777777" w:rsidR="0032767E" w:rsidRDefault="0032767E" w:rsidP="0032767E">
            <w:pPr>
              <w:pStyle w:val="ListParagraph"/>
              <w:numPr>
                <w:ilvl w:val="0"/>
                <w:numId w:val="2"/>
              </w:numPr>
              <w:spacing w:after="60"/>
            </w:pPr>
            <w:r>
              <w:rPr>
                <w:color w:val="222222"/>
                <w:sz w:val="18"/>
                <w:szCs w:val="18"/>
              </w:rPr>
              <w:t>Settlement bank partnership agreements finalized</w:t>
            </w:r>
          </w:p>
          <w:p w14:paraId="458517A4" w14:textId="77777777" w:rsidR="0032767E" w:rsidRDefault="0032767E" w:rsidP="0032767E">
            <w:pPr>
              <w:pStyle w:val="ListParagraph"/>
              <w:numPr>
                <w:ilvl w:val="0"/>
                <w:numId w:val="2"/>
              </w:numPr>
              <w:spacing w:after="60"/>
            </w:pPr>
            <w:r>
              <w:rPr>
                <w:color w:val="222222"/>
                <w:sz w:val="18"/>
                <w:szCs w:val="18"/>
              </w:rPr>
              <w:t>Bangla QR interoperability compliance certification</w:t>
            </w:r>
          </w:p>
          <w:p w14:paraId="1DE8CEF0" w14:textId="77777777" w:rsidR="0032767E" w:rsidRDefault="0032767E" w:rsidP="0032767E">
            <w:pPr>
              <w:pStyle w:val="ListParagraph"/>
              <w:numPr>
                <w:ilvl w:val="0"/>
                <w:numId w:val="2"/>
              </w:numPr>
              <w:spacing w:after="60"/>
            </w:pPr>
            <w:r>
              <w:rPr>
                <w:color w:val="222222"/>
                <w:sz w:val="18"/>
                <w:szCs w:val="18"/>
              </w:rPr>
              <w:t>First-wave SME merchant onboarding (warm-lead channel only)</w:t>
            </w:r>
          </w:p>
          <w:p w14:paraId="0757974C" w14:textId="77777777" w:rsidR="0032767E" w:rsidRDefault="0032767E" w:rsidP="0032767E">
            <w:pPr>
              <w:pStyle w:val="ListParagraph"/>
              <w:numPr>
                <w:ilvl w:val="0"/>
                <w:numId w:val="2"/>
              </w:numPr>
              <w:spacing w:after="60"/>
            </w:pPr>
            <w:r>
              <w:rPr>
                <w:color w:val="222222"/>
                <w:sz w:val="18"/>
                <w:szCs w:val="18"/>
              </w:rPr>
              <w:t>SIM-linked customer onboarding flow live in Banglalink app/USSD</w:t>
            </w:r>
          </w:p>
        </w:tc>
      </w:tr>
      <w:tr w:rsidR="0032767E" w14:paraId="10503035" w14:textId="77777777" w:rsidTr="004E473B">
        <w:tblPrEx>
          <w:tblCellMar>
            <w:top w:w="0" w:type="dxa"/>
            <w:bottom w:w="0" w:type="dxa"/>
          </w:tblCellMar>
        </w:tblPrEx>
        <w:tc>
          <w:tcPr>
            <w:tcW w:w="1700" w:type="dxa"/>
            <w:tcMar>
              <w:top w:w="90" w:type="dxa"/>
              <w:left w:w="110" w:type="dxa"/>
              <w:bottom w:w="90" w:type="dxa"/>
              <w:right w:w="110" w:type="dxa"/>
            </w:tcMar>
          </w:tcPr>
          <w:p w14:paraId="1B6CFF55" w14:textId="77777777" w:rsidR="0032767E" w:rsidRDefault="0032767E" w:rsidP="004E473B">
            <w:pPr>
              <w:spacing w:after="60"/>
            </w:pPr>
            <w:r>
              <w:rPr>
                <w:color w:val="222222"/>
                <w:sz w:val="18"/>
                <w:szCs w:val="18"/>
              </w:rPr>
              <w:t>Dependencies</w:t>
            </w:r>
          </w:p>
        </w:tc>
        <w:tc>
          <w:tcPr>
            <w:tcW w:w="7600" w:type="dxa"/>
            <w:tcMar>
              <w:top w:w="90" w:type="dxa"/>
              <w:left w:w="110" w:type="dxa"/>
              <w:bottom w:w="90" w:type="dxa"/>
              <w:right w:w="110" w:type="dxa"/>
            </w:tcMar>
          </w:tcPr>
          <w:p w14:paraId="3F8C2C28" w14:textId="77777777" w:rsidR="0032767E" w:rsidRDefault="0032767E" w:rsidP="0032767E">
            <w:pPr>
              <w:pStyle w:val="ListParagraph"/>
              <w:numPr>
                <w:ilvl w:val="0"/>
                <w:numId w:val="2"/>
              </w:numPr>
              <w:spacing w:after="60"/>
            </w:pPr>
            <w:r>
              <w:rPr>
                <w:color w:val="222222"/>
                <w:sz w:val="18"/>
                <w:szCs w:val="18"/>
              </w:rPr>
              <w:t>Bangladesh Bank final commercial launch approval (beyond NOC)</w:t>
            </w:r>
          </w:p>
          <w:p w14:paraId="7F86D0EC" w14:textId="77777777" w:rsidR="0032767E" w:rsidRDefault="0032767E" w:rsidP="0032767E">
            <w:pPr>
              <w:pStyle w:val="ListParagraph"/>
              <w:numPr>
                <w:ilvl w:val="0"/>
                <w:numId w:val="2"/>
              </w:numPr>
              <w:spacing w:after="60"/>
            </w:pPr>
            <w:r>
              <w:rPr>
                <w:color w:val="222222"/>
                <w:sz w:val="18"/>
                <w:szCs w:val="18"/>
              </w:rPr>
              <w:t>Huawei platform delivery on committed timeline</w:t>
            </w:r>
          </w:p>
          <w:p w14:paraId="7209D821" w14:textId="77777777" w:rsidR="0032767E" w:rsidRDefault="0032767E" w:rsidP="0032767E">
            <w:pPr>
              <w:pStyle w:val="ListParagraph"/>
              <w:numPr>
                <w:ilvl w:val="0"/>
                <w:numId w:val="2"/>
              </w:numPr>
              <w:spacing w:after="60"/>
            </w:pPr>
            <w:r>
              <w:rPr>
                <w:color w:val="222222"/>
                <w:sz w:val="18"/>
                <w:szCs w:val="18"/>
              </w:rPr>
              <w:t>Settlement bank agreements executed</w:t>
            </w:r>
          </w:p>
          <w:p w14:paraId="7EB5677D" w14:textId="77777777" w:rsidR="0032767E" w:rsidRDefault="0032767E" w:rsidP="0032767E">
            <w:pPr>
              <w:pStyle w:val="ListParagraph"/>
              <w:numPr>
                <w:ilvl w:val="0"/>
                <w:numId w:val="2"/>
              </w:numPr>
              <w:spacing w:after="60"/>
            </w:pPr>
            <w:r>
              <w:rPr>
                <w:color w:val="222222"/>
                <w:sz w:val="18"/>
                <w:szCs w:val="18"/>
              </w:rPr>
              <w:t>Internal Banglalink enterprise sales team alignment on cross-sell mandate</w:t>
            </w:r>
          </w:p>
        </w:tc>
      </w:tr>
      <w:tr w:rsidR="0032767E" w14:paraId="67F654A8" w14:textId="77777777" w:rsidTr="004E473B">
        <w:tblPrEx>
          <w:tblCellMar>
            <w:top w:w="0" w:type="dxa"/>
            <w:bottom w:w="0" w:type="dxa"/>
          </w:tblCellMar>
        </w:tblPrEx>
        <w:tc>
          <w:tcPr>
            <w:tcW w:w="1700" w:type="dxa"/>
            <w:tcMar>
              <w:top w:w="90" w:type="dxa"/>
              <w:left w:w="110" w:type="dxa"/>
              <w:bottom w:w="90" w:type="dxa"/>
              <w:right w:w="110" w:type="dxa"/>
            </w:tcMar>
          </w:tcPr>
          <w:p w14:paraId="6F56163A" w14:textId="77777777" w:rsidR="0032767E" w:rsidRDefault="0032767E" w:rsidP="004E473B">
            <w:pPr>
              <w:spacing w:after="60"/>
            </w:pPr>
            <w:r>
              <w:rPr>
                <w:color w:val="222222"/>
                <w:sz w:val="18"/>
                <w:szCs w:val="18"/>
              </w:rPr>
              <w:t>Success metrics</w:t>
            </w:r>
          </w:p>
        </w:tc>
        <w:tc>
          <w:tcPr>
            <w:tcW w:w="7600" w:type="dxa"/>
            <w:tcMar>
              <w:top w:w="90" w:type="dxa"/>
              <w:left w:w="110" w:type="dxa"/>
              <w:bottom w:w="90" w:type="dxa"/>
              <w:right w:w="110" w:type="dxa"/>
            </w:tcMar>
          </w:tcPr>
          <w:p w14:paraId="549F9905" w14:textId="77777777" w:rsidR="0032767E" w:rsidRDefault="0032767E" w:rsidP="0032767E">
            <w:pPr>
              <w:pStyle w:val="ListParagraph"/>
              <w:numPr>
                <w:ilvl w:val="0"/>
                <w:numId w:val="2"/>
              </w:numPr>
              <w:spacing w:after="60"/>
            </w:pPr>
            <w:r>
              <w:rPr>
                <w:color w:val="222222"/>
                <w:sz w:val="18"/>
                <w:szCs w:val="18"/>
              </w:rPr>
              <w:t>Commercial launch achieved within phase window</w:t>
            </w:r>
          </w:p>
          <w:p w14:paraId="09BE28AA" w14:textId="77777777" w:rsidR="0032767E" w:rsidRDefault="0032767E" w:rsidP="0032767E">
            <w:pPr>
              <w:pStyle w:val="ListParagraph"/>
              <w:numPr>
                <w:ilvl w:val="0"/>
                <w:numId w:val="2"/>
              </w:numPr>
              <w:spacing w:after="60"/>
            </w:pPr>
            <w:r>
              <w:rPr>
                <w:color w:val="222222"/>
                <w:sz w:val="18"/>
                <w:szCs w:val="18"/>
              </w:rPr>
              <w:t>First 150–300 active merchants onboarded (illustrative target, see Financial Model)</w:t>
            </w:r>
          </w:p>
          <w:p w14:paraId="5F2ABF0C" w14:textId="77777777" w:rsidR="0032767E" w:rsidRDefault="0032767E" w:rsidP="0032767E">
            <w:pPr>
              <w:pStyle w:val="ListParagraph"/>
              <w:numPr>
                <w:ilvl w:val="0"/>
                <w:numId w:val="2"/>
              </w:numPr>
              <w:spacing w:after="60"/>
            </w:pPr>
            <w:r>
              <w:rPr>
                <w:color w:val="222222"/>
                <w:sz w:val="18"/>
                <w:szCs w:val="18"/>
              </w:rPr>
              <w:t>Settlement reliability ≥99% from day one</w:t>
            </w:r>
          </w:p>
          <w:p w14:paraId="05F01F88" w14:textId="77777777" w:rsidR="0032767E" w:rsidRDefault="0032767E" w:rsidP="0032767E">
            <w:pPr>
              <w:pStyle w:val="ListParagraph"/>
              <w:numPr>
                <w:ilvl w:val="0"/>
                <w:numId w:val="2"/>
              </w:numPr>
              <w:spacing w:after="60"/>
            </w:pPr>
            <w:r>
              <w:rPr>
                <w:color w:val="222222"/>
                <w:sz w:val="18"/>
                <w:szCs w:val="18"/>
              </w:rPr>
              <w:t>Zero critical compliance findings from Bangladesh Bank</w:t>
            </w:r>
          </w:p>
        </w:tc>
      </w:tr>
      <w:tr w:rsidR="0032767E" w14:paraId="55F0E009" w14:textId="77777777" w:rsidTr="004E473B">
        <w:tblPrEx>
          <w:tblCellMar>
            <w:top w:w="0" w:type="dxa"/>
            <w:bottom w:w="0" w:type="dxa"/>
          </w:tblCellMar>
        </w:tblPrEx>
        <w:tc>
          <w:tcPr>
            <w:tcW w:w="1700" w:type="dxa"/>
            <w:tcMar>
              <w:top w:w="90" w:type="dxa"/>
              <w:left w:w="110" w:type="dxa"/>
              <w:bottom w:w="90" w:type="dxa"/>
              <w:right w:w="110" w:type="dxa"/>
            </w:tcMar>
          </w:tcPr>
          <w:p w14:paraId="701AB055" w14:textId="77777777" w:rsidR="0032767E" w:rsidRDefault="0032767E" w:rsidP="004E473B">
            <w:pPr>
              <w:spacing w:after="60"/>
            </w:pPr>
            <w:r>
              <w:rPr>
                <w:color w:val="222222"/>
                <w:sz w:val="18"/>
                <w:szCs w:val="18"/>
              </w:rPr>
              <w:t>Major risks</w:t>
            </w:r>
          </w:p>
        </w:tc>
        <w:tc>
          <w:tcPr>
            <w:tcW w:w="7600" w:type="dxa"/>
            <w:tcMar>
              <w:top w:w="90" w:type="dxa"/>
              <w:left w:w="110" w:type="dxa"/>
              <w:bottom w:w="90" w:type="dxa"/>
              <w:right w:w="110" w:type="dxa"/>
            </w:tcMar>
          </w:tcPr>
          <w:p w14:paraId="4AEB9E05" w14:textId="77777777" w:rsidR="0032767E" w:rsidRDefault="0032767E" w:rsidP="0032767E">
            <w:pPr>
              <w:pStyle w:val="ListParagraph"/>
              <w:numPr>
                <w:ilvl w:val="0"/>
                <w:numId w:val="2"/>
              </w:numPr>
              <w:spacing w:after="60"/>
            </w:pPr>
            <w:r>
              <w:rPr>
                <w:color w:val="222222"/>
                <w:sz w:val="18"/>
                <w:szCs w:val="18"/>
              </w:rPr>
              <w:t>Regulatory approval delay beyond NOC — highest-probability, highest-impact risk this phase</w:t>
            </w:r>
          </w:p>
          <w:p w14:paraId="4C1A0A72" w14:textId="77777777" w:rsidR="0032767E" w:rsidRDefault="0032767E" w:rsidP="0032767E">
            <w:pPr>
              <w:pStyle w:val="ListParagraph"/>
              <w:numPr>
                <w:ilvl w:val="0"/>
                <w:numId w:val="2"/>
              </w:numPr>
              <w:spacing w:after="60"/>
            </w:pPr>
            <w:r>
              <w:rPr>
                <w:color w:val="222222"/>
                <w:sz w:val="18"/>
                <w:szCs w:val="18"/>
              </w:rPr>
              <w:t>Platform delivery slippage from Huawei integration complexity</w:t>
            </w:r>
          </w:p>
          <w:p w14:paraId="1E0F8F15" w14:textId="77777777" w:rsidR="0032767E" w:rsidRDefault="0032767E" w:rsidP="0032767E">
            <w:pPr>
              <w:pStyle w:val="ListParagraph"/>
              <w:numPr>
                <w:ilvl w:val="0"/>
                <w:numId w:val="2"/>
              </w:numPr>
              <w:spacing w:after="60"/>
            </w:pPr>
            <w:r>
              <w:rPr>
                <w:color w:val="222222"/>
                <w:sz w:val="18"/>
                <w:szCs w:val="18"/>
              </w:rPr>
              <w:t>Merchant onboarding slower than warm-lead assumption if Banglalink's B2B sales team isn't incentivized to prioritize it</w:t>
            </w:r>
          </w:p>
        </w:tc>
      </w:tr>
      <w:tr w:rsidR="0032767E" w14:paraId="2809960C" w14:textId="77777777" w:rsidTr="004E473B">
        <w:tblPrEx>
          <w:tblCellMar>
            <w:top w:w="0" w:type="dxa"/>
            <w:bottom w:w="0" w:type="dxa"/>
          </w:tblCellMar>
        </w:tblPrEx>
        <w:tc>
          <w:tcPr>
            <w:tcW w:w="1700" w:type="dxa"/>
            <w:tcMar>
              <w:top w:w="90" w:type="dxa"/>
              <w:left w:w="110" w:type="dxa"/>
              <w:bottom w:w="90" w:type="dxa"/>
              <w:right w:w="110" w:type="dxa"/>
            </w:tcMar>
          </w:tcPr>
          <w:p w14:paraId="14CF9715" w14:textId="77777777" w:rsidR="0032767E" w:rsidRDefault="0032767E" w:rsidP="004E473B">
            <w:pPr>
              <w:spacing w:after="60"/>
            </w:pPr>
            <w:r>
              <w:rPr>
                <w:color w:val="222222"/>
                <w:sz w:val="18"/>
                <w:szCs w:val="18"/>
              </w:rPr>
              <w:t>Expected outcomes</w:t>
            </w:r>
          </w:p>
        </w:tc>
        <w:tc>
          <w:tcPr>
            <w:tcW w:w="7600" w:type="dxa"/>
            <w:tcMar>
              <w:top w:w="90" w:type="dxa"/>
              <w:left w:w="110" w:type="dxa"/>
              <w:bottom w:w="90" w:type="dxa"/>
              <w:right w:w="110" w:type="dxa"/>
            </w:tcMar>
          </w:tcPr>
          <w:p w14:paraId="7AE3C3FC" w14:textId="77777777" w:rsidR="0032767E" w:rsidRDefault="0032767E" w:rsidP="0032767E">
            <w:pPr>
              <w:pStyle w:val="ListParagraph"/>
              <w:numPr>
                <w:ilvl w:val="0"/>
                <w:numId w:val="2"/>
              </w:numPr>
              <w:spacing w:after="60"/>
            </w:pPr>
            <w:r>
              <w:rPr>
                <w:color w:val="222222"/>
                <w:sz w:val="18"/>
                <w:szCs w:val="18"/>
              </w:rPr>
              <w:t>A working, compliant, reliable core rail with a small but real transacting merchant and customer base</w:t>
            </w:r>
          </w:p>
          <w:p w14:paraId="0EE2A611" w14:textId="77777777" w:rsidR="0032767E" w:rsidRDefault="0032767E" w:rsidP="0032767E">
            <w:pPr>
              <w:pStyle w:val="ListParagraph"/>
              <w:numPr>
                <w:ilvl w:val="0"/>
                <w:numId w:val="2"/>
              </w:numPr>
              <w:spacing w:after="60"/>
            </w:pPr>
            <w:r>
              <w:rPr>
                <w:color w:val="222222"/>
                <w:sz w:val="18"/>
                <w:szCs w:val="18"/>
              </w:rPr>
              <w:t>Proof points to justify Phase 2 capital commitment — not yet a scale business</w:t>
            </w:r>
          </w:p>
        </w:tc>
      </w:tr>
    </w:tbl>
    <w:p w14:paraId="12CE02DC" w14:textId="77777777" w:rsidR="0032767E" w:rsidRDefault="0032767E" w:rsidP="0032767E">
      <w:pPr>
        <w:pStyle w:val="Heading2"/>
      </w:pPr>
      <w:bookmarkStart w:id="40" w:name="_Toc236834035"/>
      <w:r>
        <w:t>Phase 2 (6–18 months): Scale the Network</w:t>
      </w:r>
      <w:bookmarkEnd w:id="40"/>
    </w:p>
    <w:p w14:paraId="045063C1" w14:textId="77777777" w:rsidR="0032767E" w:rsidRDefault="0032767E" w:rsidP="0032767E">
      <w:pPr>
        <w:spacing w:after="140" w:line="300" w:lineRule="auto"/>
      </w:pPr>
      <w:r>
        <w:t>Objective: convert the proven rail into a genuine merchant network and open the SME/enterprise disbursement line — the differentiated white-space opportunity identified in the Competitive Benchmarking. This phase absorbs the bulk of Horizon 1–2 capital intensity.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00"/>
      </w:tblGrid>
      <w:tr w:rsidR="0032767E" w14:paraId="4D7A0222" w14:textId="77777777" w:rsidTr="004E473B">
        <w:tblPrEx>
          <w:tblCellMar>
            <w:top w:w="0" w:type="dxa"/>
            <w:bottom w:w="0" w:type="dxa"/>
          </w:tblCellMar>
        </w:tblPrEx>
        <w:trPr>
          <w:tblHeader/>
        </w:trPr>
        <w:tc>
          <w:tcPr>
            <w:tcW w:w="1700" w:type="dxa"/>
            <w:shd w:val="clear" w:color="auto" w:fill="1B2A4A"/>
            <w:tcMar>
              <w:top w:w="90" w:type="dxa"/>
              <w:left w:w="110" w:type="dxa"/>
              <w:bottom w:w="90" w:type="dxa"/>
              <w:right w:w="110" w:type="dxa"/>
            </w:tcMar>
          </w:tcPr>
          <w:p w14:paraId="1B0F8E93" w14:textId="77777777" w:rsidR="0032767E" w:rsidRDefault="0032767E" w:rsidP="004E473B">
            <w:pPr>
              <w:spacing w:after="60"/>
            </w:pPr>
          </w:p>
        </w:tc>
        <w:tc>
          <w:tcPr>
            <w:tcW w:w="7600" w:type="dxa"/>
            <w:shd w:val="clear" w:color="auto" w:fill="1B2A4A"/>
            <w:tcMar>
              <w:top w:w="90" w:type="dxa"/>
              <w:left w:w="110" w:type="dxa"/>
              <w:bottom w:w="90" w:type="dxa"/>
              <w:right w:w="110" w:type="dxa"/>
            </w:tcMar>
          </w:tcPr>
          <w:p w14:paraId="3EDD5E5E" w14:textId="77777777" w:rsidR="0032767E" w:rsidRDefault="0032767E" w:rsidP="004E473B">
            <w:pPr>
              <w:spacing w:after="60"/>
            </w:pPr>
            <w:r>
              <w:rPr>
                <w:b/>
                <w:bCs/>
                <w:color w:val="FFFFFF"/>
                <w:sz w:val="18"/>
                <w:szCs w:val="18"/>
              </w:rPr>
              <w:t>Details</w:t>
            </w:r>
          </w:p>
        </w:tc>
      </w:tr>
      <w:tr w:rsidR="0032767E" w14:paraId="7CA5B9E3" w14:textId="77777777" w:rsidTr="004E473B">
        <w:tblPrEx>
          <w:tblCellMar>
            <w:top w:w="0" w:type="dxa"/>
            <w:bottom w:w="0" w:type="dxa"/>
          </w:tblCellMar>
        </w:tblPrEx>
        <w:tc>
          <w:tcPr>
            <w:tcW w:w="1700" w:type="dxa"/>
            <w:tcMar>
              <w:top w:w="90" w:type="dxa"/>
              <w:left w:w="110" w:type="dxa"/>
              <w:bottom w:w="90" w:type="dxa"/>
              <w:right w:w="110" w:type="dxa"/>
            </w:tcMar>
          </w:tcPr>
          <w:p w14:paraId="5CB09EDA" w14:textId="77777777" w:rsidR="0032767E" w:rsidRDefault="0032767E" w:rsidP="004E473B">
            <w:pPr>
              <w:spacing w:after="60"/>
            </w:pPr>
            <w:r>
              <w:rPr>
                <w:color w:val="222222"/>
                <w:sz w:val="18"/>
                <w:szCs w:val="18"/>
              </w:rPr>
              <w:t>Objectives</w:t>
            </w:r>
          </w:p>
        </w:tc>
        <w:tc>
          <w:tcPr>
            <w:tcW w:w="7600" w:type="dxa"/>
            <w:tcMar>
              <w:top w:w="90" w:type="dxa"/>
              <w:left w:w="110" w:type="dxa"/>
              <w:bottom w:w="90" w:type="dxa"/>
              <w:right w:w="110" w:type="dxa"/>
            </w:tcMar>
          </w:tcPr>
          <w:p w14:paraId="7ECAFC7D" w14:textId="77777777" w:rsidR="0032767E" w:rsidRDefault="0032767E" w:rsidP="0032767E">
            <w:pPr>
              <w:pStyle w:val="ListParagraph"/>
              <w:numPr>
                <w:ilvl w:val="0"/>
                <w:numId w:val="2"/>
              </w:numPr>
              <w:spacing w:after="60"/>
            </w:pPr>
            <w:r>
              <w:rPr>
                <w:color w:val="222222"/>
                <w:sz w:val="18"/>
                <w:szCs w:val="18"/>
              </w:rPr>
              <w:t>Scale merchant acquisition beyond the warm-lead channel into underserved regions</w:t>
            </w:r>
          </w:p>
          <w:p w14:paraId="4C454BCF" w14:textId="77777777" w:rsidR="0032767E" w:rsidRDefault="0032767E" w:rsidP="0032767E">
            <w:pPr>
              <w:pStyle w:val="ListParagraph"/>
              <w:numPr>
                <w:ilvl w:val="0"/>
                <w:numId w:val="2"/>
              </w:numPr>
              <w:spacing w:after="60"/>
            </w:pPr>
            <w:r>
              <w:rPr>
                <w:color w:val="222222"/>
                <w:sz w:val="18"/>
                <w:szCs w:val="18"/>
              </w:rPr>
              <w:t>Launch B2B disbursement product line (payroll, vendor payments)</w:t>
            </w:r>
          </w:p>
          <w:p w14:paraId="197A1C8B" w14:textId="77777777" w:rsidR="0032767E" w:rsidRDefault="0032767E" w:rsidP="0032767E">
            <w:pPr>
              <w:pStyle w:val="ListParagraph"/>
              <w:numPr>
                <w:ilvl w:val="0"/>
                <w:numId w:val="2"/>
              </w:numPr>
              <w:spacing w:after="60"/>
            </w:pPr>
            <w:r>
              <w:rPr>
                <w:color w:val="222222"/>
                <w:sz w:val="18"/>
                <w:szCs w:val="18"/>
              </w:rPr>
              <w:t>Establish telecom–payments bundled propositions and unified loyalty construct</w:t>
            </w:r>
          </w:p>
        </w:tc>
      </w:tr>
      <w:tr w:rsidR="0032767E" w14:paraId="0C6F3F09" w14:textId="77777777" w:rsidTr="004E473B">
        <w:tblPrEx>
          <w:tblCellMar>
            <w:top w:w="0" w:type="dxa"/>
            <w:bottom w:w="0" w:type="dxa"/>
          </w:tblCellMar>
        </w:tblPrEx>
        <w:tc>
          <w:tcPr>
            <w:tcW w:w="1700" w:type="dxa"/>
            <w:tcMar>
              <w:top w:w="90" w:type="dxa"/>
              <w:left w:w="110" w:type="dxa"/>
              <w:bottom w:w="90" w:type="dxa"/>
              <w:right w:w="110" w:type="dxa"/>
            </w:tcMar>
          </w:tcPr>
          <w:p w14:paraId="7CD93EE9" w14:textId="77777777" w:rsidR="0032767E" w:rsidRDefault="0032767E" w:rsidP="004E473B">
            <w:pPr>
              <w:spacing w:after="60"/>
            </w:pPr>
            <w:r>
              <w:rPr>
                <w:color w:val="222222"/>
                <w:sz w:val="18"/>
                <w:szCs w:val="18"/>
              </w:rPr>
              <w:t>Key initiatives</w:t>
            </w:r>
          </w:p>
        </w:tc>
        <w:tc>
          <w:tcPr>
            <w:tcW w:w="7600" w:type="dxa"/>
            <w:tcMar>
              <w:top w:w="90" w:type="dxa"/>
              <w:left w:w="110" w:type="dxa"/>
              <w:bottom w:w="90" w:type="dxa"/>
              <w:right w:w="110" w:type="dxa"/>
            </w:tcMar>
          </w:tcPr>
          <w:p w14:paraId="354F5DD1" w14:textId="77777777" w:rsidR="0032767E" w:rsidRDefault="0032767E" w:rsidP="0032767E">
            <w:pPr>
              <w:pStyle w:val="ListParagraph"/>
              <w:numPr>
                <w:ilvl w:val="0"/>
                <w:numId w:val="2"/>
              </w:numPr>
              <w:spacing w:after="60"/>
            </w:pPr>
            <w:r>
              <w:rPr>
                <w:color w:val="222222"/>
                <w:sz w:val="18"/>
                <w:szCs w:val="18"/>
              </w:rPr>
              <w:t xml:space="preserve">Agent-assisted merchant onboarding in underserved regions (Feni, </w:t>
            </w:r>
            <w:proofErr w:type="spellStart"/>
            <w:r>
              <w:rPr>
                <w:color w:val="222222"/>
                <w:sz w:val="18"/>
                <w:szCs w:val="18"/>
              </w:rPr>
              <w:t>Cumilla</w:t>
            </w:r>
            <w:proofErr w:type="spellEnd"/>
            <w:r>
              <w:rPr>
                <w:color w:val="222222"/>
                <w:sz w:val="18"/>
                <w:szCs w:val="18"/>
              </w:rPr>
              <w:t xml:space="preserve">, Chattogram first; </w:t>
            </w:r>
            <w:proofErr w:type="spellStart"/>
            <w:r>
              <w:rPr>
                <w:color w:val="222222"/>
                <w:sz w:val="18"/>
                <w:szCs w:val="18"/>
              </w:rPr>
              <w:t>Panchagarh</w:t>
            </w:r>
            <w:proofErr w:type="spellEnd"/>
            <w:r>
              <w:rPr>
                <w:color w:val="222222"/>
                <w:sz w:val="18"/>
                <w:szCs w:val="18"/>
              </w:rPr>
              <w:t xml:space="preserve">, </w:t>
            </w:r>
            <w:proofErr w:type="spellStart"/>
            <w:r>
              <w:rPr>
                <w:color w:val="222222"/>
                <w:sz w:val="18"/>
                <w:szCs w:val="18"/>
              </w:rPr>
              <w:t>Kurigram</w:t>
            </w:r>
            <w:proofErr w:type="spellEnd"/>
            <w:r>
              <w:rPr>
                <w:color w:val="222222"/>
                <w:sz w:val="18"/>
                <w:szCs w:val="18"/>
              </w:rPr>
              <w:t xml:space="preserve"> inclusion-focused expansion)</w:t>
            </w:r>
          </w:p>
          <w:p w14:paraId="40CEE76E" w14:textId="77777777" w:rsidR="0032767E" w:rsidRDefault="0032767E" w:rsidP="0032767E">
            <w:pPr>
              <w:pStyle w:val="ListParagraph"/>
              <w:numPr>
                <w:ilvl w:val="0"/>
                <w:numId w:val="2"/>
              </w:numPr>
              <w:spacing w:after="60"/>
            </w:pPr>
            <w:r>
              <w:rPr>
                <w:color w:val="222222"/>
                <w:sz w:val="18"/>
                <w:szCs w:val="18"/>
              </w:rPr>
              <w:t>SME payroll/vendor disbursement product build and enterprise sales motion</w:t>
            </w:r>
          </w:p>
          <w:p w14:paraId="5C912BE5" w14:textId="77777777" w:rsidR="0032767E" w:rsidRDefault="0032767E" w:rsidP="0032767E">
            <w:pPr>
              <w:pStyle w:val="ListParagraph"/>
              <w:numPr>
                <w:ilvl w:val="0"/>
                <w:numId w:val="2"/>
              </w:numPr>
              <w:spacing w:after="60"/>
            </w:pPr>
            <w:r>
              <w:rPr>
                <w:color w:val="222222"/>
                <w:sz w:val="18"/>
                <w:szCs w:val="18"/>
              </w:rPr>
              <w:t>Unified Banglalink–NEO PSP loyalty program launch</w:t>
            </w:r>
          </w:p>
          <w:p w14:paraId="484DCE3A" w14:textId="77777777" w:rsidR="0032767E" w:rsidRDefault="0032767E" w:rsidP="0032767E">
            <w:pPr>
              <w:pStyle w:val="ListParagraph"/>
              <w:numPr>
                <w:ilvl w:val="0"/>
                <w:numId w:val="2"/>
              </w:numPr>
              <w:spacing w:after="60"/>
            </w:pPr>
            <w:r>
              <w:rPr>
                <w:color w:val="222222"/>
                <w:sz w:val="18"/>
                <w:szCs w:val="18"/>
              </w:rPr>
              <w:t>E-commerce/platform gateway partnership integrations</w:t>
            </w:r>
          </w:p>
          <w:p w14:paraId="6BED5F55" w14:textId="77777777" w:rsidR="0032767E" w:rsidRDefault="0032767E" w:rsidP="0032767E">
            <w:pPr>
              <w:pStyle w:val="ListParagraph"/>
              <w:numPr>
                <w:ilvl w:val="0"/>
                <w:numId w:val="2"/>
              </w:numPr>
              <w:spacing w:after="60"/>
            </w:pPr>
            <w:r>
              <w:rPr>
                <w:color w:val="222222"/>
                <w:sz w:val="18"/>
                <w:szCs w:val="18"/>
              </w:rPr>
              <w:t>Merchant-side data personalization (settlement timing, fee-tier optimization)</w:t>
            </w:r>
          </w:p>
        </w:tc>
      </w:tr>
      <w:tr w:rsidR="0032767E" w14:paraId="07BBC300" w14:textId="77777777" w:rsidTr="004E473B">
        <w:tblPrEx>
          <w:tblCellMar>
            <w:top w:w="0" w:type="dxa"/>
            <w:bottom w:w="0" w:type="dxa"/>
          </w:tblCellMar>
        </w:tblPrEx>
        <w:tc>
          <w:tcPr>
            <w:tcW w:w="1700" w:type="dxa"/>
            <w:tcMar>
              <w:top w:w="90" w:type="dxa"/>
              <w:left w:w="110" w:type="dxa"/>
              <w:bottom w:w="90" w:type="dxa"/>
              <w:right w:w="110" w:type="dxa"/>
            </w:tcMar>
          </w:tcPr>
          <w:p w14:paraId="22D1F930" w14:textId="77777777" w:rsidR="0032767E" w:rsidRDefault="0032767E" w:rsidP="004E473B">
            <w:pPr>
              <w:spacing w:after="60"/>
            </w:pPr>
            <w:r>
              <w:rPr>
                <w:color w:val="222222"/>
                <w:sz w:val="18"/>
                <w:szCs w:val="18"/>
              </w:rPr>
              <w:t>Dependencies</w:t>
            </w:r>
          </w:p>
        </w:tc>
        <w:tc>
          <w:tcPr>
            <w:tcW w:w="7600" w:type="dxa"/>
            <w:tcMar>
              <w:top w:w="90" w:type="dxa"/>
              <w:left w:w="110" w:type="dxa"/>
              <w:bottom w:w="90" w:type="dxa"/>
              <w:right w:w="110" w:type="dxa"/>
            </w:tcMar>
          </w:tcPr>
          <w:p w14:paraId="6C5173C3" w14:textId="77777777" w:rsidR="0032767E" w:rsidRDefault="0032767E" w:rsidP="0032767E">
            <w:pPr>
              <w:pStyle w:val="ListParagraph"/>
              <w:numPr>
                <w:ilvl w:val="0"/>
                <w:numId w:val="2"/>
              </w:numPr>
              <w:spacing w:after="60"/>
            </w:pPr>
            <w:r>
              <w:rPr>
                <w:color w:val="222222"/>
                <w:sz w:val="18"/>
                <w:szCs w:val="18"/>
              </w:rPr>
              <w:t>Phase 1 reliability and compliance track record clean enough to support scale-up</w:t>
            </w:r>
          </w:p>
          <w:p w14:paraId="0BD2EB11" w14:textId="77777777" w:rsidR="0032767E" w:rsidRDefault="0032767E" w:rsidP="0032767E">
            <w:pPr>
              <w:pStyle w:val="ListParagraph"/>
              <w:numPr>
                <w:ilvl w:val="0"/>
                <w:numId w:val="2"/>
              </w:numPr>
              <w:spacing w:after="60"/>
            </w:pPr>
            <w:r>
              <w:rPr>
                <w:color w:val="222222"/>
                <w:sz w:val="18"/>
                <w:szCs w:val="18"/>
              </w:rPr>
              <w:lastRenderedPageBreak/>
              <w:t>Dedicated headcount build in merchant acquisition, risk/compliance, and product (per Operating Model, Section 8)</w:t>
            </w:r>
          </w:p>
          <w:p w14:paraId="35909BF4" w14:textId="77777777" w:rsidR="0032767E" w:rsidRDefault="0032767E" w:rsidP="0032767E">
            <w:pPr>
              <w:pStyle w:val="ListParagraph"/>
              <w:numPr>
                <w:ilvl w:val="0"/>
                <w:numId w:val="2"/>
              </w:numPr>
              <w:spacing w:after="60"/>
            </w:pPr>
            <w:r>
              <w:rPr>
                <w:color w:val="222222"/>
                <w:sz w:val="18"/>
                <w:szCs w:val="18"/>
              </w:rPr>
              <w:t>Banglalink core telecom product team coordination on bundled propositions — flagged as a cross-functional risk earlier in this engagement</w:t>
            </w:r>
          </w:p>
        </w:tc>
      </w:tr>
      <w:tr w:rsidR="0032767E" w14:paraId="5257B2A2" w14:textId="77777777" w:rsidTr="004E473B">
        <w:tblPrEx>
          <w:tblCellMar>
            <w:top w:w="0" w:type="dxa"/>
            <w:bottom w:w="0" w:type="dxa"/>
          </w:tblCellMar>
        </w:tblPrEx>
        <w:tc>
          <w:tcPr>
            <w:tcW w:w="1700" w:type="dxa"/>
            <w:tcMar>
              <w:top w:w="90" w:type="dxa"/>
              <w:left w:w="110" w:type="dxa"/>
              <w:bottom w:w="90" w:type="dxa"/>
              <w:right w:w="110" w:type="dxa"/>
            </w:tcMar>
          </w:tcPr>
          <w:p w14:paraId="493484EE" w14:textId="77777777" w:rsidR="0032767E" w:rsidRDefault="0032767E" w:rsidP="004E473B">
            <w:pPr>
              <w:spacing w:after="60"/>
            </w:pPr>
            <w:r>
              <w:rPr>
                <w:color w:val="222222"/>
                <w:sz w:val="18"/>
                <w:szCs w:val="18"/>
              </w:rPr>
              <w:t>Success metrics</w:t>
            </w:r>
          </w:p>
        </w:tc>
        <w:tc>
          <w:tcPr>
            <w:tcW w:w="7600" w:type="dxa"/>
            <w:tcMar>
              <w:top w:w="90" w:type="dxa"/>
              <w:left w:w="110" w:type="dxa"/>
              <w:bottom w:w="90" w:type="dxa"/>
              <w:right w:w="110" w:type="dxa"/>
            </w:tcMar>
          </w:tcPr>
          <w:p w14:paraId="7EDC858F" w14:textId="77777777" w:rsidR="0032767E" w:rsidRDefault="0032767E" w:rsidP="0032767E">
            <w:pPr>
              <w:pStyle w:val="ListParagraph"/>
              <w:numPr>
                <w:ilvl w:val="0"/>
                <w:numId w:val="2"/>
              </w:numPr>
              <w:spacing w:after="60"/>
            </w:pPr>
            <w:r>
              <w:rPr>
                <w:color w:val="222222"/>
                <w:sz w:val="18"/>
                <w:szCs w:val="18"/>
              </w:rPr>
              <w:t>Active merchant base scaling toward Year 2 target trajectory (see KPI Dashboard, Financial Model)</w:t>
            </w:r>
          </w:p>
          <w:p w14:paraId="6CFCBCC0" w14:textId="77777777" w:rsidR="0032767E" w:rsidRDefault="0032767E" w:rsidP="0032767E">
            <w:pPr>
              <w:pStyle w:val="ListParagraph"/>
              <w:numPr>
                <w:ilvl w:val="0"/>
                <w:numId w:val="2"/>
              </w:numPr>
              <w:spacing w:after="60"/>
            </w:pPr>
            <w:r>
              <w:rPr>
                <w:color w:val="222222"/>
                <w:sz w:val="18"/>
                <w:szCs w:val="18"/>
              </w:rPr>
              <w:t>B2B disbursement revenue share reaching a meaningful proportion of total revenue (target: material double-digit share by end of phase)</w:t>
            </w:r>
          </w:p>
          <w:p w14:paraId="36E2110E" w14:textId="77777777" w:rsidR="0032767E" w:rsidRDefault="0032767E" w:rsidP="0032767E">
            <w:pPr>
              <w:pStyle w:val="ListParagraph"/>
              <w:numPr>
                <w:ilvl w:val="0"/>
                <w:numId w:val="2"/>
              </w:numPr>
              <w:spacing w:after="60"/>
            </w:pPr>
            <w:r>
              <w:rPr>
                <w:color w:val="222222"/>
                <w:sz w:val="18"/>
                <w:szCs w:val="18"/>
              </w:rPr>
              <w:t>Merchant retention rate sustained ≥95%</w:t>
            </w:r>
          </w:p>
          <w:p w14:paraId="19B510F1" w14:textId="77777777" w:rsidR="0032767E" w:rsidRDefault="0032767E" w:rsidP="0032767E">
            <w:pPr>
              <w:pStyle w:val="ListParagraph"/>
              <w:numPr>
                <w:ilvl w:val="0"/>
                <w:numId w:val="2"/>
              </w:numPr>
              <w:spacing w:after="60"/>
            </w:pPr>
            <w:r>
              <w:rPr>
                <w:color w:val="222222"/>
                <w:sz w:val="18"/>
                <w:szCs w:val="18"/>
              </w:rPr>
              <w:t>Cost per active merchant acquired trending down as warm-lead channel saturates and agent-assisted channel matures</w:t>
            </w:r>
          </w:p>
        </w:tc>
      </w:tr>
      <w:tr w:rsidR="0032767E" w14:paraId="225E97A7" w14:textId="77777777" w:rsidTr="004E473B">
        <w:tblPrEx>
          <w:tblCellMar>
            <w:top w:w="0" w:type="dxa"/>
            <w:bottom w:w="0" w:type="dxa"/>
          </w:tblCellMar>
        </w:tblPrEx>
        <w:tc>
          <w:tcPr>
            <w:tcW w:w="1700" w:type="dxa"/>
            <w:tcMar>
              <w:top w:w="90" w:type="dxa"/>
              <w:left w:w="110" w:type="dxa"/>
              <w:bottom w:w="90" w:type="dxa"/>
              <w:right w:w="110" w:type="dxa"/>
            </w:tcMar>
          </w:tcPr>
          <w:p w14:paraId="096CDCD4" w14:textId="77777777" w:rsidR="0032767E" w:rsidRDefault="0032767E" w:rsidP="004E473B">
            <w:pPr>
              <w:spacing w:after="60"/>
            </w:pPr>
            <w:r>
              <w:rPr>
                <w:color w:val="222222"/>
                <w:sz w:val="18"/>
                <w:szCs w:val="18"/>
              </w:rPr>
              <w:t>Major risks</w:t>
            </w:r>
          </w:p>
        </w:tc>
        <w:tc>
          <w:tcPr>
            <w:tcW w:w="7600" w:type="dxa"/>
            <w:tcMar>
              <w:top w:w="90" w:type="dxa"/>
              <w:left w:w="110" w:type="dxa"/>
              <w:bottom w:w="90" w:type="dxa"/>
              <w:right w:w="110" w:type="dxa"/>
            </w:tcMar>
          </w:tcPr>
          <w:p w14:paraId="30605AAD" w14:textId="77777777" w:rsidR="0032767E" w:rsidRDefault="0032767E" w:rsidP="0032767E">
            <w:pPr>
              <w:pStyle w:val="ListParagraph"/>
              <w:numPr>
                <w:ilvl w:val="0"/>
                <w:numId w:val="2"/>
              </w:numPr>
              <w:spacing w:after="60"/>
            </w:pPr>
            <w:r>
              <w:rPr>
                <w:color w:val="222222"/>
                <w:sz w:val="18"/>
                <w:szCs w:val="18"/>
              </w:rPr>
              <w:t>Incumbent response — bKash/Nagad extending defensively into merchant/gateway services during this window</w:t>
            </w:r>
          </w:p>
          <w:p w14:paraId="7B837862" w14:textId="77777777" w:rsidR="0032767E" w:rsidRDefault="0032767E" w:rsidP="0032767E">
            <w:pPr>
              <w:pStyle w:val="ListParagraph"/>
              <w:numPr>
                <w:ilvl w:val="0"/>
                <w:numId w:val="2"/>
              </w:numPr>
              <w:spacing w:after="60"/>
            </w:pPr>
            <w:r>
              <w:rPr>
                <w:color w:val="222222"/>
                <w:sz w:val="18"/>
                <w:szCs w:val="18"/>
              </w:rPr>
              <w:t>Execution risk in agent-network build-out, a capability Banglalink has not previously operated at this intensity</w:t>
            </w:r>
          </w:p>
          <w:p w14:paraId="7DAE4A20" w14:textId="77777777" w:rsidR="0032767E" w:rsidRDefault="0032767E" w:rsidP="0032767E">
            <w:pPr>
              <w:pStyle w:val="ListParagraph"/>
              <w:numPr>
                <w:ilvl w:val="0"/>
                <w:numId w:val="2"/>
              </w:numPr>
              <w:spacing w:after="60"/>
            </w:pPr>
            <w:r>
              <w:rPr>
                <w:color w:val="222222"/>
                <w:sz w:val="18"/>
                <w:szCs w:val="18"/>
              </w:rPr>
              <w:t>Telecom–payments bundling stalls if core telecom product team isn't formally resourced into the roadmap</w:t>
            </w:r>
          </w:p>
        </w:tc>
      </w:tr>
      <w:tr w:rsidR="0032767E" w14:paraId="2563CFC2" w14:textId="77777777" w:rsidTr="004E473B">
        <w:tblPrEx>
          <w:tblCellMar>
            <w:top w:w="0" w:type="dxa"/>
            <w:bottom w:w="0" w:type="dxa"/>
          </w:tblCellMar>
        </w:tblPrEx>
        <w:tc>
          <w:tcPr>
            <w:tcW w:w="1700" w:type="dxa"/>
            <w:tcMar>
              <w:top w:w="90" w:type="dxa"/>
              <w:left w:w="110" w:type="dxa"/>
              <w:bottom w:w="90" w:type="dxa"/>
              <w:right w:w="110" w:type="dxa"/>
            </w:tcMar>
          </w:tcPr>
          <w:p w14:paraId="21EC960C" w14:textId="77777777" w:rsidR="0032767E" w:rsidRDefault="0032767E" w:rsidP="004E473B">
            <w:pPr>
              <w:spacing w:after="60"/>
            </w:pPr>
            <w:r>
              <w:rPr>
                <w:color w:val="222222"/>
                <w:sz w:val="18"/>
                <w:szCs w:val="18"/>
              </w:rPr>
              <w:t>Expected outcomes</w:t>
            </w:r>
          </w:p>
        </w:tc>
        <w:tc>
          <w:tcPr>
            <w:tcW w:w="7600" w:type="dxa"/>
            <w:tcMar>
              <w:top w:w="90" w:type="dxa"/>
              <w:left w:w="110" w:type="dxa"/>
              <w:bottom w:w="90" w:type="dxa"/>
              <w:right w:w="110" w:type="dxa"/>
            </w:tcMar>
          </w:tcPr>
          <w:p w14:paraId="0C44FC91" w14:textId="77777777" w:rsidR="0032767E" w:rsidRDefault="0032767E" w:rsidP="0032767E">
            <w:pPr>
              <w:pStyle w:val="ListParagraph"/>
              <w:numPr>
                <w:ilvl w:val="0"/>
                <w:numId w:val="2"/>
              </w:numPr>
              <w:spacing w:after="60"/>
            </w:pPr>
            <w:r>
              <w:rPr>
                <w:color w:val="222222"/>
                <w:sz w:val="18"/>
                <w:szCs w:val="18"/>
              </w:rPr>
              <w:t>NEO PSP becomes a visible, scaling second growth engine rather than a pilot</w:t>
            </w:r>
          </w:p>
          <w:p w14:paraId="4D99EE9D" w14:textId="77777777" w:rsidR="0032767E" w:rsidRDefault="0032767E" w:rsidP="0032767E">
            <w:pPr>
              <w:pStyle w:val="ListParagraph"/>
              <w:numPr>
                <w:ilvl w:val="0"/>
                <w:numId w:val="2"/>
              </w:numPr>
              <w:spacing w:after="60"/>
            </w:pPr>
            <w:r>
              <w:rPr>
                <w:color w:val="222222"/>
                <w:sz w:val="18"/>
                <w:szCs w:val="18"/>
              </w:rPr>
              <w:t>B2B disbursement establishes NEO PSP's differentiated position ahead of any competitor closing the gap</w:t>
            </w:r>
          </w:p>
        </w:tc>
      </w:tr>
    </w:tbl>
    <w:p w14:paraId="01260D56" w14:textId="77777777" w:rsidR="0032767E" w:rsidRDefault="0032767E" w:rsidP="0032767E">
      <w:pPr>
        <w:pStyle w:val="Heading2"/>
      </w:pPr>
      <w:bookmarkStart w:id="41" w:name="_Toc236834036"/>
      <w:r>
        <w:t>Phase 3 (18–36 months): Compound the Ecosystem</w:t>
      </w:r>
      <w:bookmarkEnd w:id="41"/>
    </w:p>
    <w:p w14:paraId="2BDA5723" w14:textId="77777777" w:rsidR="0032767E" w:rsidRDefault="0032767E" w:rsidP="0032767E">
      <w:pPr>
        <w:spacing w:after="140" w:line="300" w:lineRule="auto"/>
      </w:pPr>
      <w:r>
        <w:t>Objective: move from a scaling payments business to a defensible financial-services ecosystem — layering adjacent services, consumer-side personalization, and open banking participation onto a now-established merchant and customer base.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00"/>
      </w:tblGrid>
      <w:tr w:rsidR="0032767E" w14:paraId="5C9CCA74" w14:textId="77777777" w:rsidTr="004E473B">
        <w:tblPrEx>
          <w:tblCellMar>
            <w:top w:w="0" w:type="dxa"/>
            <w:bottom w:w="0" w:type="dxa"/>
          </w:tblCellMar>
        </w:tblPrEx>
        <w:trPr>
          <w:tblHeader/>
        </w:trPr>
        <w:tc>
          <w:tcPr>
            <w:tcW w:w="1700" w:type="dxa"/>
            <w:shd w:val="clear" w:color="auto" w:fill="1B2A4A"/>
            <w:tcMar>
              <w:top w:w="90" w:type="dxa"/>
              <w:left w:w="110" w:type="dxa"/>
              <w:bottom w:w="90" w:type="dxa"/>
              <w:right w:w="110" w:type="dxa"/>
            </w:tcMar>
          </w:tcPr>
          <w:p w14:paraId="724DAAB6" w14:textId="77777777" w:rsidR="0032767E" w:rsidRDefault="0032767E" w:rsidP="004E473B">
            <w:pPr>
              <w:spacing w:after="60"/>
            </w:pPr>
          </w:p>
        </w:tc>
        <w:tc>
          <w:tcPr>
            <w:tcW w:w="7600" w:type="dxa"/>
            <w:shd w:val="clear" w:color="auto" w:fill="1B2A4A"/>
            <w:tcMar>
              <w:top w:w="90" w:type="dxa"/>
              <w:left w:w="110" w:type="dxa"/>
              <w:bottom w:w="90" w:type="dxa"/>
              <w:right w:w="110" w:type="dxa"/>
            </w:tcMar>
          </w:tcPr>
          <w:p w14:paraId="289AFB05" w14:textId="77777777" w:rsidR="0032767E" w:rsidRDefault="0032767E" w:rsidP="004E473B">
            <w:pPr>
              <w:spacing w:after="60"/>
            </w:pPr>
            <w:r>
              <w:rPr>
                <w:b/>
                <w:bCs/>
                <w:color w:val="FFFFFF"/>
                <w:sz w:val="18"/>
                <w:szCs w:val="18"/>
              </w:rPr>
              <w:t>Details</w:t>
            </w:r>
          </w:p>
        </w:tc>
      </w:tr>
      <w:tr w:rsidR="0032767E" w14:paraId="11A35E4B" w14:textId="77777777" w:rsidTr="004E473B">
        <w:tblPrEx>
          <w:tblCellMar>
            <w:top w:w="0" w:type="dxa"/>
            <w:bottom w:w="0" w:type="dxa"/>
          </w:tblCellMar>
        </w:tblPrEx>
        <w:tc>
          <w:tcPr>
            <w:tcW w:w="1700" w:type="dxa"/>
            <w:tcMar>
              <w:top w:w="90" w:type="dxa"/>
              <w:left w:w="110" w:type="dxa"/>
              <w:bottom w:w="90" w:type="dxa"/>
              <w:right w:w="110" w:type="dxa"/>
            </w:tcMar>
          </w:tcPr>
          <w:p w14:paraId="060FA39A" w14:textId="77777777" w:rsidR="0032767E" w:rsidRDefault="0032767E" w:rsidP="004E473B">
            <w:pPr>
              <w:spacing w:after="60"/>
            </w:pPr>
            <w:r>
              <w:rPr>
                <w:color w:val="222222"/>
                <w:sz w:val="18"/>
                <w:szCs w:val="18"/>
              </w:rPr>
              <w:t>Objectives</w:t>
            </w:r>
          </w:p>
        </w:tc>
        <w:tc>
          <w:tcPr>
            <w:tcW w:w="7600" w:type="dxa"/>
            <w:tcMar>
              <w:top w:w="90" w:type="dxa"/>
              <w:left w:w="110" w:type="dxa"/>
              <w:bottom w:w="90" w:type="dxa"/>
              <w:right w:w="110" w:type="dxa"/>
            </w:tcMar>
          </w:tcPr>
          <w:p w14:paraId="21040E29" w14:textId="77777777" w:rsidR="0032767E" w:rsidRDefault="0032767E" w:rsidP="0032767E">
            <w:pPr>
              <w:pStyle w:val="ListParagraph"/>
              <w:numPr>
                <w:ilvl w:val="0"/>
                <w:numId w:val="2"/>
              </w:numPr>
              <w:spacing w:after="60"/>
            </w:pPr>
            <w:r>
              <w:rPr>
                <w:color w:val="222222"/>
                <w:sz w:val="18"/>
                <w:szCs w:val="18"/>
              </w:rPr>
              <w:t>Launch adjacent financial services (micro-savings placement, insurance premium collection) without carrying product risk directly</w:t>
            </w:r>
          </w:p>
          <w:p w14:paraId="339FEBC0" w14:textId="77777777" w:rsidR="0032767E" w:rsidRDefault="0032767E" w:rsidP="0032767E">
            <w:pPr>
              <w:pStyle w:val="ListParagraph"/>
              <w:numPr>
                <w:ilvl w:val="0"/>
                <w:numId w:val="2"/>
              </w:numPr>
              <w:spacing w:after="60"/>
            </w:pPr>
            <w:r>
              <w:rPr>
                <w:color w:val="222222"/>
                <w:sz w:val="18"/>
                <w:szCs w:val="18"/>
              </w:rPr>
              <w:t>Participate in open banking/PISP ecosystem as the Bangladesh Bank framework matures</w:t>
            </w:r>
          </w:p>
          <w:p w14:paraId="1923E8B6" w14:textId="77777777" w:rsidR="0032767E" w:rsidRDefault="0032767E" w:rsidP="0032767E">
            <w:pPr>
              <w:pStyle w:val="ListParagraph"/>
              <w:numPr>
                <w:ilvl w:val="0"/>
                <w:numId w:val="2"/>
              </w:numPr>
              <w:spacing w:after="60"/>
            </w:pPr>
            <w:r>
              <w:rPr>
                <w:color w:val="222222"/>
                <w:sz w:val="18"/>
                <w:szCs w:val="18"/>
              </w:rPr>
              <w:t>Establish NEO PSP as a replicable playbook for VEON's other operating markets</w:t>
            </w:r>
          </w:p>
        </w:tc>
      </w:tr>
      <w:tr w:rsidR="0032767E" w14:paraId="1E062C6D" w14:textId="77777777" w:rsidTr="004E473B">
        <w:tblPrEx>
          <w:tblCellMar>
            <w:top w:w="0" w:type="dxa"/>
            <w:bottom w:w="0" w:type="dxa"/>
          </w:tblCellMar>
        </w:tblPrEx>
        <w:tc>
          <w:tcPr>
            <w:tcW w:w="1700" w:type="dxa"/>
            <w:tcMar>
              <w:top w:w="90" w:type="dxa"/>
              <w:left w:w="110" w:type="dxa"/>
              <w:bottom w:w="90" w:type="dxa"/>
              <w:right w:w="110" w:type="dxa"/>
            </w:tcMar>
          </w:tcPr>
          <w:p w14:paraId="4365245C" w14:textId="77777777" w:rsidR="0032767E" w:rsidRDefault="0032767E" w:rsidP="004E473B">
            <w:pPr>
              <w:spacing w:after="60"/>
            </w:pPr>
            <w:r>
              <w:rPr>
                <w:color w:val="222222"/>
                <w:sz w:val="18"/>
                <w:szCs w:val="18"/>
              </w:rPr>
              <w:t>Key initiatives</w:t>
            </w:r>
          </w:p>
        </w:tc>
        <w:tc>
          <w:tcPr>
            <w:tcW w:w="7600" w:type="dxa"/>
            <w:tcMar>
              <w:top w:w="90" w:type="dxa"/>
              <w:left w:w="110" w:type="dxa"/>
              <w:bottom w:w="90" w:type="dxa"/>
              <w:right w:w="110" w:type="dxa"/>
            </w:tcMar>
          </w:tcPr>
          <w:p w14:paraId="1A30B158" w14:textId="77777777" w:rsidR="0032767E" w:rsidRDefault="0032767E" w:rsidP="0032767E">
            <w:pPr>
              <w:pStyle w:val="ListParagraph"/>
              <w:numPr>
                <w:ilvl w:val="0"/>
                <w:numId w:val="2"/>
              </w:numPr>
              <w:spacing w:after="60"/>
            </w:pPr>
            <w:r>
              <w:rPr>
                <w:color w:val="222222"/>
                <w:sz w:val="18"/>
                <w:szCs w:val="18"/>
              </w:rPr>
              <w:t>Consumer-side data personalization combining transaction and telecom usage data</w:t>
            </w:r>
          </w:p>
          <w:p w14:paraId="5910413A" w14:textId="77777777" w:rsidR="0032767E" w:rsidRDefault="0032767E" w:rsidP="0032767E">
            <w:pPr>
              <w:pStyle w:val="ListParagraph"/>
              <w:numPr>
                <w:ilvl w:val="0"/>
                <w:numId w:val="2"/>
              </w:numPr>
              <w:spacing w:after="60"/>
            </w:pPr>
            <w:r>
              <w:rPr>
                <w:color w:val="222222"/>
                <w:sz w:val="18"/>
                <w:szCs w:val="18"/>
              </w:rPr>
              <w:t>Credit-referral data monetization partnerships with banks/NBFIs</w:t>
            </w:r>
          </w:p>
          <w:p w14:paraId="5FA33A1E" w14:textId="77777777" w:rsidR="0032767E" w:rsidRDefault="0032767E" w:rsidP="0032767E">
            <w:pPr>
              <w:pStyle w:val="ListParagraph"/>
              <w:numPr>
                <w:ilvl w:val="0"/>
                <w:numId w:val="2"/>
              </w:numPr>
              <w:spacing w:after="60"/>
            </w:pPr>
            <w:r>
              <w:rPr>
                <w:color w:val="222222"/>
                <w:sz w:val="18"/>
                <w:szCs w:val="18"/>
              </w:rPr>
              <w:t>Open banking/PISP participation (account-to-account payment initiation)</w:t>
            </w:r>
          </w:p>
          <w:p w14:paraId="13F967E5" w14:textId="77777777" w:rsidR="0032767E" w:rsidRDefault="0032767E" w:rsidP="0032767E">
            <w:pPr>
              <w:pStyle w:val="ListParagraph"/>
              <w:numPr>
                <w:ilvl w:val="0"/>
                <w:numId w:val="2"/>
              </w:numPr>
              <w:spacing w:after="60"/>
            </w:pPr>
            <w:r>
              <w:rPr>
                <w:color w:val="222222"/>
                <w:sz w:val="18"/>
                <w:szCs w:val="18"/>
              </w:rPr>
              <w:t>Third-party insurance/micro-savings distribution partnerships</w:t>
            </w:r>
          </w:p>
          <w:p w14:paraId="62136B3F" w14:textId="77777777" w:rsidR="0032767E" w:rsidRDefault="0032767E" w:rsidP="0032767E">
            <w:pPr>
              <w:pStyle w:val="ListParagraph"/>
              <w:numPr>
                <w:ilvl w:val="0"/>
                <w:numId w:val="2"/>
              </w:numPr>
              <w:spacing w:after="60"/>
            </w:pPr>
            <w:r>
              <w:rPr>
                <w:color w:val="222222"/>
                <w:sz w:val="18"/>
                <w:szCs w:val="18"/>
              </w:rPr>
              <w:t>VEON cross-market playbook documentation and knowledge transfer</w:t>
            </w:r>
          </w:p>
        </w:tc>
      </w:tr>
      <w:tr w:rsidR="0032767E" w14:paraId="62C900B8" w14:textId="77777777" w:rsidTr="004E473B">
        <w:tblPrEx>
          <w:tblCellMar>
            <w:top w:w="0" w:type="dxa"/>
            <w:bottom w:w="0" w:type="dxa"/>
          </w:tblCellMar>
        </w:tblPrEx>
        <w:tc>
          <w:tcPr>
            <w:tcW w:w="1700" w:type="dxa"/>
            <w:tcMar>
              <w:top w:w="90" w:type="dxa"/>
              <w:left w:w="110" w:type="dxa"/>
              <w:bottom w:w="90" w:type="dxa"/>
              <w:right w:w="110" w:type="dxa"/>
            </w:tcMar>
          </w:tcPr>
          <w:p w14:paraId="6DE31195" w14:textId="77777777" w:rsidR="0032767E" w:rsidRDefault="0032767E" w:rsidP="004E473B">
            <w:pPr>
              <w:spacing w:after="60"/>
            </w:pPr>
            <w:r>
              <w:rPr>
                <w:color w:val="222222"/>
                <w:sz w:val="18"/>
                <w:szCs w:val="18"/>
              </w:rPr>
              <w:t>Dependencies</w:t>
            </w:r>
          </w:p>
        </w:tc>
        <w:tc>
          <w:tcPr>
            <w:tcW w:w="7600" w:type="dxa"/>
            <w:tcMar>
              <w:top w:w="90" w:type="dxa"/>
              <w:left w:w="110" w:type="dxa"/>
              <w:bottom w:w="90" w:type="dxa"/>
              <w:right w:w="110" w:type="dxa"/>
            </w:tcMar>
          </w:tcPr>
          <w:p w14:paraId="3B2685FA" w14:textId="77777777" w:rsidR="0032767E" w:rsidRDefault="0032767E" w:rsidP="0032767E">
            <w:pPr>
              <w:pStyle w:val="ListParagraph"/>
              <w:numPr>
                <w:ilvl w:val="0"/>
                <w:numId w:val="2"/>
              </w:numPr>
              <w:spacing w:after="60"/>
            </w:pPr>
            <w:r>
              <w:rPr>
                <w:color w:val="222222"/>
                <w:sz w:val="18"/>
                <w:szCs w:val="18"/>
              </w:rPr>
              <w:t>Bangladesh Bank open banking/PISP framework reaching sufficient maturity (targeted mid-2026, subject to regulatory pacing)</w:t>
            </w:r>
          </w:p>
          <w:p w14:paraId="4FEEA39B" w14:textId="77777777" w:rsidR="0032767E" w:rsidRDefault="0032767E" w:rsidP="0032767E">
            <w:pPr>
              <w:pStyle w:val="ListParagraph"/>
              <w:numPr>
                <w:ilvl w:val="0"/>
                <w:numId w:val="2"/>
              </w:numPr>
              <w:spacing w:after="60"/>
            </w:pPr>
            <w:r>
              <w:rPr>
                <w:color w:val="222222"/>
                <w:sz w:val="18"/>
                <w:szCs w:val="18"/>
              </w:rPr>
              <w:t>Sufficient transaction data volume and consent architecture from Phase 1–2 to support personalization reliably</w:t>
            </w:r>
          </w:p>
          <w:p w14:paraId="11075EB5" w14:textId="77777777" w:rsidR="0032767E" w:rsidRDefault="0032767E" w:rsidP="0032767E">
            <w:pPr>
              <w:pStyle w:val="ListParagraph"/>
              <w:numPr>
                <w:ilvl w:val="0"/>
                <w:numId w:val="2"/>
              </w:numPr>
              <w:spacing w:after="60"/>
            </w:pPr>
            <w:r>
              <w:rPr>
                <w:color w:val="222222"/>
                <w:sz w:val="18"/>
                <w:szCs w:val="18"/>
              </w:rPr>
              <w:t>Partner bank/NBFI agreements for credit-referral and product-distribution lines</w:t>
            </w:r>
          </w:p>
        </w:tc>
      </w:tr>
      <w:tr w:rsidR="0032767E" w14:paraId="117E2746" w14:textId="77777777" w:rsidTr="004E473B">
        <w:tblPrEx>
          <w:tblCellMar>
            <w:top w:w="0" w:type="dxa"/>
            <w:bottom w:w="0" w:type="dxa"/>
          </w:tblCellMar>
        </w:tblPrEx>
        <w:tc>
          <w:tcPr>
            <w:tcW w:w="1700" w:type="dxa"/>
            <w:tcMar>
              <w:top w:w="90" w:type="dxa"/>
              <w:left w:w="110" w:type="dxa"/>
              <w:bottom w:w="90" w:type="dxa"/>
              <w:right w:w="110" w:type="dxa"/>
            </w:tcMar>
          </w:tcPr>
          <w:p w14:paraId="542D912C" w14:textId="77777777" w:rsidR="0032767E" w:rsidRDefault="0032767E" w:rsidP="004E473B">
            <w:pPr>
              <w:spacing w:after="60"/>
            </w:pPr>
            <w:r>
              <w:rPr>
                <w:color w:val="222222"/>
                <w:sz w:val="18"/>
                <w:szCs w:val="18"/>
              </w:rPr>
              <w:lastRenderedPageBreak/>
              <w:t>Success metrics</w:t>
            </w:r>
          </w:p>
        </w:tc>
        <w:tc>
          <w:tcPr>
            <w:tcW w:w="7600" w:type="dxa"/>
            <w:tcMar>
              <w:top w:w="90" w:type="dxa"/>
              <w:left w:w="110" w:type="dxa"/>
              <w:bottom w:w="90" w:type="dxa"/>
              <w:right w:w="110" w:type="dxa"/>
            </w:tcMar>
          </w:tcPr>
          <w:p w14:paraId="73272843" w14:textId="77777777" w:rsidR="0032767E" w:rsidRDefault="0032767E" w:rsidP="0032767E">
            <w:pPr>
              <w:pStyle w:val="ListParagraph"/>
              <w:numPr>
                <w:ilvl w:val="0"/>
                <w:numId w:val="2"/>
              </w:numPr>
              <w:spacing w:after="60"/>
            </w:pPr>
            <w:r>
              <w:rPr>
                <w:color w:val="222222"/>
                <w:sz w:val="18"/>
                <w:szCs w:val="18"/>
              </w:rPr>
              <w:t>Revenue diversification: adjacent/ecosystem revenue lines contributing a growing non-MDR share of total revenue</w:t>
            </w:r>
          </w:p>
          <w:p w14:paraId="40408608" w14:textId="77777777" w:rsidR="0032767E" w:rsidRDefault="0032767E" w:rsidP="0032767E">
            <w:pPr>
              <w:pStyle w:val="ListParagraph"/>
              <w:numPr>
                <w:ilvl w:val="0"/>
                <w:numId w:val="2"/>
              </w:numPr>
              <w:spacing w:after="60"/>
            </w:pPr>
            <w:r>
              <w:rPr>
                <w:color w:val="222222"/>
                <w:sz w:val="18"/>
                <w:szCs w:val="18"/>
              </w:rPr>
              <w:t>EBITDA breakeven achieved or clearly in sight (see Financial Model breakeven flag)</w:t>
            </w:r>
          </w:p>
          <w:p w14:paraId="0662A5C5" w14:textId="77777777" w:rsidR="0032767E" w:rsidRDefault="0032767E" w:rsidP="0032767E">
            <w:pPr>
              <w:pStyle w:val="ListParagraph"/>
              <w:numPr>
                <w:ilvl w:val="0"/>
                <w:numId w:val="2"/>
              </w:numPr>
              <w:spacing w:after="60"/>
            </w:pPr>
            <w:r>
              <w:rPr>
                <w:color w:val="222222"/>
                <w:sz w:val="18"/>
                <w:szCs w:val="18"/>
              </w:rPr>
              <w:t>At least one VEON cross-market replication conversation formally initiated</w:t>
            </w:r>
          </w:p>
        </w:tc>
      </w:tr>
      <w:tr w:rsidR="0032767E" w14:paraId="1DBB49CD" w14:textId="77777777" w:rsidTr="004E473B">
        <w:tblPrEx>
          <w:tblCellMar>
            <w:top w:w="0" w:type="dxa"/>
            <w:bottom w:w="0" w:type="dxa"/>
          </w:tblCellMar>
        </w:tblPrEx>
        <w:tc>
          <w:tcPr>
            <w:tcW w:w="1700" w:type="dxa"/>
            <w:tcMar>
              <w:top w:w="90" w:type="dxa"/>
              <w:left w:w="110" w:type="dxa"/>
              <w:bottom w:w="90" w:type="dxa"/>
              <w:right w:w="110" w:type="dxa"/>
            </w:tcMar>
          </w:tcPr>
          <w:p w14:paraId="2FB55E74" w14:textId="77777777" w:rsidR="0032767E" w:rsidRDefault="0032767E" w:rsidP="004E473B">
            <w:pPr>
              <w:spacing w:after="60"/>
            </w:pPr>
            <w:r>
              <w:rPr>
                <w:color w:val="222222"/>
                <w:sz w:val="18"/>
                <w:szCs w:val="18"/>
              </w:rPr>
              <w:t>Major risks</w:t>
            </w:r>
          </w:p>
        </w:tc>
        <w:tc>
          <w:tcPr>
            <w:tcW w:w="7600" w:type="dxa"/>
            <w:tcMar>
              <w:top w:w="90" w:type="dxa"/>
              <w:left w:w="110" w:type="dxa"/>
              <w:bottom w:w="90" w:type="dxa"/>
              <w:right w:w="110" w:type="dxa"/>
            </w:tcMar>
          </w:tcPr>
          <w:p w14:paraId="5BF5608E" w14:textId="77777777" w:rsidR="0032767E" w:rsidRDefault="0032767E" w:rsidP="0032767E">
            <w:pPr>
              <w:pStyle w:val="ListParagraph"/>
              <w:numPr>
                <w:ilvl w:val="0"/>
                <w:numId w:val="2"/>
              </w:numPr>
              <w:spacing w:after="60"/>
            </w:pPr>
            <w:r>
              <w:rPr>
                <w:color w:val="222222"/>
                <w:sz w:val="18"/>
                <w:szCs w:val="18"/>
              </w:rPr>
              <w:t>Open banking timeline slips, delaying the PISP-dependent revenue line — mitigated by treating this as upside, not core-case, per the Growth Framework's prioritization matrix</w:t>
            </w:r>
          </w:p>
          <w:p w14:paraId="6F860E4F" w14:textId="77777777" w:rsidR="0032767E" w:rsidRDefault="0032767E" w:rsidP="0032767E">
            <w:pPr>
              <w:pStyle w:val="ListParagraph"/>
              <w:numPr>
                <w:ilvl w:val="0"/>
                <w:numId w:val="2"/>
              </w:numPr>
              <w:spacing w:after="60"/>
            </w:pPr>
            <w:r>
              <w:rPr>
                <w:color w:val="222222"/>
                <w:sz w:val="18"/>
                <w:szCs w:val="18"/>
              </w:rPr>
              <w:t>Over-expansion into adjacent services ahead of core profitability, repeating the capital-discipline risk flagged in the Executive Summary</w:t>
            </w:r>
          </w:p>
          <w:p w14:paraId="04DFEE08" w14:textId="77777777" w:rsidR="0032767E" w:rsidRDefault="0032767E" w:rsidP="0032767E">
            <w:pPr>
              <w:pStyle w:val="ListParagraph"/>
              <w:numPr>
                <w:ilvl w:val="0"/>
                <w:numId w:val="2"/>
              </w:numPr>
              <w:spacing w:after="60"/>
            </w:pPr>
            <w:r>
              <w:rPr>
                <w:color w:val="222222"/>
                <w:sz w:val="18"/>
                <w:szCs w:val="18"/>
              </w:rPr>
              <w:t>E-commerce-native PSP entrants (</w:t>
            </w:r>
            <w:proofErr w:type="spellStart"/>
            <w:r>
              <w:rPr>
                <w:color w:val="222222"/>
                <w:sz w:val="18"/>
                <w:szCs w:val="18"/>
              </w:rPr>
              <w:t>Daraz</w:t>
            </w:r>
            <w:proofErr w:type="spellEnd"/>
            <w:r>
              <w:rPr>
                <w:color w:val="222222"/>
                <w:sz w:val="18"/>
                <w:szCs w:val="18"/>
              </w:rPr>
              <w:t xml:space="preserve">, </w:t>
            </w:r>
            <w:proofErr w:type="spellStart"/>
            <w:r>
              <w:rPr>
                <w:color w:val="222222"/>
                <w:sz w:val="18"/>
                <w:szCs w:val="18"/>
              </w:rPr>
              <w:t>Chaldal</w:t>
            </w:r>
            <w:proofErr w:type="spellEnd"/>
            <w:r>
              <w:rPr>
                <w:color w:val="222222"/>
                <w:sz w:val="18"/>
                <w:szCs w:val="18"/>
              </w:rPr>
              <w:t>) maturing into direct competitors for the same ecosystem plays</w:t>
            </w:r>
          </w:p>
        </w:tc>
      </w:tr>
      <w:tr w:rsidR="0032767E" w14:paraId="49E58532" w14:textId="77777777" w:rsidTr="004E473B">
        <w:tblPrEx>
          <w:tblCellMar>
            <w:top w:w="0" w:type="dxa"/>
            <w:bottom w:w="0" w:type="dxa"/>
          </w:tblCellMar>
        </w:tblPrEx>
        <w:tc>
          <w:tcPr>
            <w:tcW w:w="1700" w:type="dxa"/>
            <w:tcMar>
              <w:top w:w="90" w:type="dxa"/>
              <w:left w:w="110" w:type="dxa"/>
              <w:bottom w:w="90" w:type="dxa"/>
              <w:right w:w="110" w:type="dxa"/>
            </w:tcMar>
          </w:tcPr>
          <w:p w14:paraId="350B0D59" w14:textId="77777777" w:rsidR="0032767E" w:rsidRDefault="0032767E" w:rsidP="004E473B">
            <w:pPr>
              <w:spacing w:after="60"/>
            </w:pPr>
            <w:r>
              <w:rPr>
                <w:color w:val="222222"/>
                <w:sz w:val="18"/>
                <w:szCs w:val="18"/>
              </w:rPr>
              <w:t>Expected outcomes</w:t>
            </w:r>
          </w:p>
        </w:tc>
        <w:tc>
          <w:tcPr>
            <w:tcW w:w="7600" w:type="dxa"/>
            <w:tcMar>
              <w:top w:w="90" w:type="dxa"/>
              <w:left w:w="110" w:type="dxa"/>
              <w:bottom w:w="90" w:type="dxa"/>
              <w:right w:w="110" w:type="dxa"/>
            </w:tcMar>
          </w:tcPr>
          <w:p w14:paraId="040BDAF0" w14:textId="77777777" w:rsidR="0032767E" w:rsidRDefault="0032767E" w:rsidP="0032767E">
            <w:pPr>
              <w:pStyle w:val="ListParagraph"/>
              <w:numPr>
                <w:ilvl w:val="0"/>
                <w:numId w:val="2"/>
              </w:numPr>
              <w:spacing w:after="60"/>
            </w:pPr>
            <w:r>
              <w:rPr>
                <w:color w:val="222222"/>
                <w:sz w:val="18"/>
                <w:szCs w:val="18"/>
              </w:rPr>
              <w:t>NEO PSP operates as a diversified, increasingly self-funding digital financial services platform</w:t>
            </w:r>
          </w:p>
          <w:p w14:paraId="55DAE73A" w14:textId="77777777" w:rsidR="0032767E" w:rsidRDefault="0032767E" w:rsidP="0032767E">
            <w:pPr>
              <w:pStyle w:val="ListParagraph"/>
              <w:numPr>
                <w:ilvl w:val="0"/>
                <w:numId w:val="2"/>
              </w:numPr>
              <w:spacing w:after="60"/>
            </w:pPr>
            <w:r>
              <w:rPr>
                <w:color w:val="222222"/>
                <w:sz w:val="18"/>
                <w:szCs w:val="18"/>
              </w:rPr>
              <w:t>A credible, documented case for VEON to evaluate replication in other operating markets</w:t>
            </w:r>
          </w:p>
        </w:tc>
      </w:tr>
    </w:tbl>
    <w:p w14:paraId="0533A2F0" w14:textId="77777777" w:rsidR="0032767E" w:rsidRDefault="0032767E" w:rsidP="0032767E">
      <w:pPr>
        <w:pStyle w:val="Heading2"/>
      </w:pPr>
      <w:bookmarkStart w:id="42" w:name="_Toc236834037"/>
      <w:r>
        <w:t>Cross-Phase Governance</w:t>
      </w:r>
      <w:bookmarkEnd w:id="42"/>
    </w:p>
    <w:p w14:paraId="28FE8783" w14:textId="77777777" w:rsidR="0032767E" w:rsidRDefault="0032767E" w:rsidP="0032767E">
      <w:pPr>
        <w:pStyle w:val="ListParagraph"/>
        <w:numPr>
          <w:ilvl w:val="0"/>
          <w:numId w:val="2"/>
        </w:numPr>
        <w:spacing w:after="90" w:line="280" w:lineRule="auto"/>
      </w:pPr>
      <w:r>
        <w:rPr>
          <w:sz w:val="20"/>
          <w:szCs w:val="20"/>
        </w:rPr>
        <w:t>Each phase concludes with a formal steering committee gate review against the success metrics above — not an automatic progression.</w:t>
      </w:r>
    </w:p>
    <w:p w14:paraId="47A17A84" w14:textId="77777777" w:rsidR="0032767E" w:rsidRDefault="0032767E" w:rsidP="0032767E">
      <w:pPr>
        <w:pStyle w:val="ListParagraph"/>
        <w:numPr>
          <w:ilvl w:val="0"/>
          <w:numId w:val="2"/>
        </w:numPr>
        <w:spacing w:after="90" w:line="280" w:lineRule="auto"/>
      </w:pPr>
      <w:r>
        <w:rPr>
          <w:sz w:val="20"/>
          <w:szCs w:val="20"/>
        </w:rPr>
        <w:t>Phase transitions should be capital-gated: Phase 2 funding is not released until Phase 1's compliance and reliability metrics are clean; Phase 3 ecosystem investment is not released until Phase 2's B2B disbursement and merchant retention targets are met.</w:t>
      </w:r>
    </w:p>
    <w:p w14:paraId="18E5F033" w14:textId="77777777" w:rsidR="0032767E" w:rsidRDefault="0032767E" w:rsidP="0032767E">
      <w:pPr>
        <w:pStyle w:val="ListParagraph"/>
        <w:numPr>
          <w:ilvl w:val="0"/>
          <w:numId w:val="2"/>
        </w:numPr>
        <w:spacing w:after="90" w:line="280" w:lineRule="auto"/>
      </w:pPr>
      <w:r>
        <w:rPr>
          <w:sz w:val="20"/>
          <w:szCs w:val="20"/>
        </w:rPr>
        <w:t>This roadmap should be read alongside Section 9 (Risk Assessment) and the KPI Dashboard, which operationalizes the success metrics listed above into an ongoing tracking tool rather than a one-time checklist.</w:t>
      </w:r>
    </w:p>
    <w:p w14:paraId="79B66B55" w14:textId="77777777" w:rsidR="00C601AB" w:rsidRDefault="001F3095">
      <w:r>
        <w:br w:type="page"/>
      </w:r>
    </w:p>
    <w:p w14:paraId="66409184" w14:textId="77777777" w:rsidR="00C601AB" w:rsidRDefault="001F3095">
      <w:pPr>
        <w:pStyle w:val="Heading1"/>
      </w:pPr>
      <w:bookmarkStart w:id="43" w:name="_Toc236834038"/>
      <w:r>
        <w:lastRenderedPageBreak/>
        <w:t>Closing Note</w:t>
      </w:r>
      <w:bookmarkEnd w:id="43"/>
    </w:p>
    <w:p w14:paraId="561B55AF" w14:textId="77777777" w:rsidR="00C601AB" w:rsidRDefault="001F3095">
      <w:pPr>
        <w:spacing w:after="160" w:line="300" w:lineRule="auto"/>
      </w:pPr>
      <w:r>
        <w:t>This document compiles the strategic work products developed to date: the report architecture, executive summary, strategic market assessment, competitive benchmarking, three-year growth framework, and conceptual business model. Remaining deliverables — the full financial business case, KPI dashboard, customer journey maps, board presentation, and 2-page executive brief — build directly on the analysis and assumptions established here.</w:t>
      </w:r>
    </w:p>
    <w:p w14:paraId="71B30784" w14:textId="77777777" w:rsidR="00C601AB" w:rsidRDefault="001F3095">
      <w:pPr>
        <w:spacing w:after="160" w:line="300" w:lineRule="auto"/>
      </w:pPr>
      <w:r>
        <w:t>All figures not directly sourced from public disclosures are explicitly flagged as assumptions with stated rationale. This report should be read alongside those source citations before any figure is used in external or investor-facing communication.</w:t>
      </w:r>
    </w:p>
    <w:sectPr w:rsidR="00C601AB">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027C3" w14:textId="77777777" w:rsidR="00523DCE" w:rsidRDefault="00523DCE">
      <w:r>
        <w:separator/>
      </w:r>
    </w:p>
  </w:endnote>
  <w:endnote w:type="continuationSeparator" w:id="0">
    <w:p w14:paraId="31848D41" w14:textId="77777777" w:rsidR="00523DCE" w:rsidRDefault="00523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B20C0" w14:textId="77777777" w:rsidR="00C601AB" w:rsidRDefault="001F3095">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32275E">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82232" w14:textId="77777777" w:rsidR="00523DCE" w:rsidRDefault="00523DCE">
      <w:r>
        <w:separator/>
      </w:r>
    </w:p>
  </w:footnote>
  <w:footnote w:type="continuationSeparator" w:id="0">
    <w:p w14:paraId="602D5B91" w14:textId="77777777" w:rsidR="00523DCE" w:rsidRDefault="00523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02157" w14:textId="77777777" w:rsidR="00C601AB" w:rsidRDefault="001F3095">
    <w:pPr>
      <w:jc w:val="right"/>
    </w:pPr>
    <w:r>
      <w:rPr>
        <w:color w:val="999999"/>
        <w:sz w:val="16"/>
        <w:szCs w:val="16"/>
      </w:rPr>
      <w:t>NEO PSP Strategic Growth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9248BE"/>
    <w:multiLevelType w:val="hybridMultilevel"/>
    <w:tmpl w:val="EDDA434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57FB0968"/>
    <w:multiLevelType w:val="hybridMultilevel"/>
    <w:tmpl w:val="FEB2ABB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1AB"/>
    <w:rsid w:val="000811BE"/>
    <w:rsid w:val="001F3095"/>
    <w:rsid w:val="0032275E"/>
    <w:rsid w:val="0032767E"/>
    <w:rsid w:val="00523DCE"/>
    <w:rsid w:val="008F651F"/>
    <w:rsid w:val="00B24465"/>
    <w:rsid w:val="00BD30F7"/>
    <w:rsid w:val="00C60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D44F7"/>
  <w15:docId w15:val="{235B4D4F-5924-41E6-8146-9A74F8A7D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2"/>
      <w:szCs w:val="32"/>
    </w:rPr>
  </w:style>
  <w:style w:type="paragraph" w:styleId="Heading2">
    <w:name w:val="heading 2"/>
    <w:uiPriority w:val="9"/>
    <w:unhideWhenUsed/>
    <w:qFormat/>
    <w:pPr>
      <w:spacing w:before="300" w:after="150"/>
      <w:outlineLvl w:val="1"/>
    </w:pPr>
    <w:rPr>
      <w:b/>
      <w:bCs/>
      <w:color w:val="D85A30"/>
      <w:sz w:val="26"/>
      <w:szCs w:val="26"/>
    </w:rPr>
  </w:style>
  <w:style w:type="paragraph" w:styleId="Heading3">
    <w:name w:val="heading 3"/>
    <w:uiPriority w:val="9"/>
    <w:unhideWhenUsed/>
    <w:qFormat/>
    <w:pPr>
      <w:spacing w:before="220" w:after="100"/>
      <w:outlineLvl w:val="2"/>
    </w:pPr>
    <w:rPr>
      <w:b/>
      <w:bCs/>
      <w:color w:val="0F6E5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2275E"/>
    <w:pPr>
      <w:spacing w:after="100"/>
    </w:pPr>
  </w:style>
  <w:style w:type="paragraph" w:styleId="TOC2">
    <w:name w:val="toc 2"/>
    <w:basedOn w:val="Normal"/>
    <w:next w:val="Normal"/>
    <w:autoRedefine/>
    <w:uiPriority w:val="39"/>
    <w:unhideWhenUsed/>
    <w:rsid w:val="0032275E"/>
    <w:pPr>
      <w:spacing w:after="100"/>
      <w:ind w:left="210"/>
    </w:pPr>
  </w:style>
  <w:style w:type="paragraph" w:styleId="TOC3">
    <w:name w:val="toc 3"/>
    <w:basedOn w:val="Normal"/>
    <w:next w:val="Normal"/>
    <w:autoRedefine/>
    <w:uiPriority w:val="39"/>
    <w:unhideWhenUsed/>
    <w:rsid w:val="0032275E"/>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B646C-B097-4FC0-80D7-49277A7E6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4514</Words>
  <Characters>25736</Characters>
  <Application>Microsoft Office Word</Application>
  <DocSecurity>0</DocSecurity>
  <Lines>214</Lines>
  <Paragraphs>60</Paragraphs>
  <ScaleCrop>false</ScaleCrop>
  <Company/>
  <LinksUpToDate>false</LinksUpToDate>
  <CharactersWithSpaces>30190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7</cp:revision>
  <dcterms:created xsi:type="dcterms:W3CDTF">2026-08-03T08:08:00Z</dcterms:created>
  <dcterms:modified xsi:type="dcterms:W3CDTF">2026-08-05T08:53:00Z</dcterms:modified>
</cp:coreProperties>
</file>