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4E95" w14:textId="664E01BA" w:rsidR="007D7B99" w:rsidRDefault="00896AEC" w:rsidP="00896AEC">
      <w:pPr>
        <w:pStyle w:val="Heading2"/>
        <w:jc w:val="center"/>
      </w:pPr>
      <w:bookmarkStart w:id="0" w:name="X44db1b3e853626b51f8d3e99f9169de52b33291"/>
      <w:bookmarkStart w:id="1" w:name="X2af7fb698fb0b80d7b4c1465872ba275b60841a"/>
      <w:r>
        <w:t>Report</w:t>
      </w:r>
      <w:r w:rsidR="002E6AE5">
        <w:t xml:space="preserve"> </w:t>
      </w:r>
      <w:r w:rsidR="00744531">
        <w:t>on</w:t>
      </w:r>
      <w:r w:rsidR="002E6AE5">
        <w:t xml:space="preserve"> Geyser Cells</w:t>
      </w:r>
      <w:r w:rsidR="00CD6B27">
        <w:t xml:space="preserve"> (Gen</w:t>
      </w:r>
      <w:r w:rsidR="00570BEE">
        <w:t>-II</w:t>
      </w:r>
      <w:r w:rsidR="00CD6B27">
        <w:t>)</w:t>
      </w:r>
    </w:p>
    <w:p w14:paraId="046CD3E5" w14:textId="21E8D7F1" w:rsidR="007D7B99" w:rsidRDefault="00000000" w:rsidP="00896AEC">
      <w:pPr>
        <w:pStyle w:val="BodyText"/>
        <w:jc w:val="both"/>
      </w:pPr>
      <w:r>
        <w:rPr>
          <w:b/>
          <w:bCs/>
        </w:rPr>
        <w:t>Purpose:</w:t>
      </w:r>
      <w:r>
        <w:t xml:space="preserve"> evaluate operating regimes</w:t>
      </w:r>
      <w:r w:rsidR="00DE113F">
        <w:t xml:space="preserve"> and</w:t>
      </w:r>
      <w:r>
        <w:t xml:space="preserve"> branch asymmetry</w:t>
      </w:r>
      <w:r w:rsidR="00DE113F">
        <w:t>.</w:t>
      </w:r>
      <w:r>
        <w:t xml:space="preserve"> </w:t>
      </w:r>
      <w:r w:rsidR="00DE113F">
        <w:t xml:space="preserve">Establish standard reported parameters and </w:t>
      </w:r>
      <w:r>
        <w:t>standard current</w:t>
      </w:r>
      <w:r w:rsidR="00D91732">
        <w:t>/voltage windows</w:t>
      </w:r>
      <w:r>
        <w:t xml:space="preserve"> for future cell sorting, comparison, and scale-up.</w:t>
      </w:r>
    </w:p>
    <w:p w14:paraId="5E09B5B5" w14:textId="77777777" w:rsidR="007D7B99" w:rsidRDefault="00000000" w:rsidP="00896AEC">
      <w:pPr>
        <w:pStyle w:val="Heading2"/>
        <w:jc w:val="both"/>
      </w:pPr>
      <w:bookmarkStart w:id="2" w:name="executive-summary"/>
      <w:bookmarkEnd w:id="0"/>
      <w:r>
        <w:t>Executive Summary</w:t>
      </w:r>
    </w:p>
    <w:p w14:paraId="358CBF77" w14:textId="660A9335" w:rsidR="007D7B99" w:rsidRDefault="00000000" w:rsidP="00896AEC">
      <w:pPr>
        <w:pStyle w:val="FirstParagraph"/>
        <w:jc w:val="both"/>
      </w:pPr>
      <w:r>
        <w:t xml:space="preserve">The cell </w:t>
      </w:r>
      <w:r w:rsidR="008717B1">
        <w:t>does not behave</w:t>
      </w:r>
      <w:r>
        <w:t xml:space="preserve"> like a symmetric EDLC. Based on the stabilized cyclic voltammetry</w:t>
      </w:r>
      <w:r w:rsidR="002C1C0B">
        <w:t xml:space="preserve"> (CV)</w:t>
      </w:r>
      <w:r>
        <w:t xml:space="preserve"> loops and the constant-current cycling traces, it behaves as an </w:t>
      </w:r>
      <w:r w:rsidRPr="00896AEC">
        <w:rPr>
          <w:b/>
          <w:bCs/>
        </w:rPr>
        <w:t xml:space="preserve">asymmetric </w:t>
      </w:r>
      <w:proofErr w:type="spellStart"/>
      <w:r w:rsidRPr="00896AEC">
        <w:rPr>
          <w:b/>
          <w:bCs/>
        </w:rPr>
        <w:t>pseudocapacitor</w:t>
      </w:r>
      <w:proofErr w:type="spellEnd"/>
      <w:r w:rsidRPr="00896AEC">
        <w:rPr>
          <w:b/>
          <w:bCs/>
        </w:rPr>
        <w:t xml:space="preserve"> / hybrid cell</w:t>
      </w:r>
      <w:r>
        <w:t xml:space="preserve">. The </w:t>
      </w:r>
      <w:r w:rsidRPr="00896AEC">
        <w:rPr>
          <w:b/>
          <w:bCs/>
        </w:rPr>
        <w:t>reverse-scan</w:t>
      </w:r>
      <w:r>
        <w:t xml:space="preserve"> and </w:t>
      </w:r>
      <w:r w:rsidRPr="00896AEC">
        <w:rPr>
          <w:b/>
          <w:bCs/>
        </w:rPr>
        <w:t>discharge branches</w:t>
      </w:r>
      <w:r>
        <w:t xml:space="preserve"> are comparatively flatter and cleaner, while the </w:t>
      </w:r>
      <w:r w:rsidRPr="00896AEC">
        <w:rPr>
          <w:b/>
          <w:bCs/>
        </w:rPr>
        <w:t>forward-scan</w:t>
      </w:r>
      <w:r>
        <w:t xml:space="preserve"> and </w:t>
      </w:r>
      <w:r w:rsidRPr="00896AEC">
        <w:rPr>
          <w:b/>
          <w:bCs/>
        </w:rPr>
        <w:t>charge branches</w:t>
      </w:r>
      <w:r>
        <w:t xml:space="preserve"> rise progressively and accelerate in the upper-voltage region. For standard parameter extraction in non-zinc mode, the </w:t>
      </w:r>
      <w:r w:rsidRPr="00896AEC">
        <w:rPr>
          <w:b/>
          <w:bCs/>
        </w:rPr>
        <w:t>discharge branch</w:t>
      </w:r>
      <w:r>
        <w:t xml:space="preserve"> is therefore the more reliable basis.</w:t>
      </w:r>
    </w:p>
    <w:p w14:paraId="739A027B" w14:textId="08FD711C" w:rsidR="007D7B99" w:rsidRDefault="00000000" w:rsidP="00896AEC">
      <w:pPr>
        <w:pStyle w:val="BodyText"/>
        <w:jc w:val="both"/>
      </w:pPr>
      <w:r>
        <w:t xml:space="preserve">Some energy-efficiency </w:t>
      </w:r>
      <w:r w:rsidR="00AB577B">
        <w:t>penalties are</w:t>
      </w:r>
      <w:r>
        <w:t xml:space="preserve"> characteristic of this </w:t>
      </w:r>
      <w:r w:rsidRPr="00896AEC">
        <w:rPr>
          <w:b/>
          <w:bCs/>
        </w:rPr>
        <w:t>asymmetric pseudocapacitive / hybrid behavior</w:t>
      </w:r>
      <w:r>
        <w:t xml:space="preserve">, but low energy efficiency is not a fixed inherent destiny of </w:t>
      </w:r>
      <w:r w:rsidR="00896AEC">
        <w:t>chemistry</w:t>
      </w:r>
      <w:r>
        <w:t xml:space="preserve">. </w:t>
      </w:r>
      <w:r w:rsidR="00896AEC">
        <w:t>The</w:t>
      </w:r>
      <w:r>
        <w:t xml:space="preserve"> full </w:t>
      </w:r>
      <w:r w:rsidRPr="00896AEC">
        <w:rPr>
          <w:b/>
          <w:bCs/>
        </w:rPr>
        <w:t>4.5 A</w:t>
      </w:r>
      <w:r>
        <w:t xml:space="preserve"> terminal cycling in the nominal </w:t>
      </w:r>
      <w:r w:rsidRPr="00896AEC">
        <w:rPr>
          <w:b/>
          <w:bCs/>
        </w:rPr>
        <w:t>0.85–1.70 V</w:t>
      </w:r>
      <w:r>
        <w:t xml:space="preserve"> range gives approximately </w:t>
      </w:r>
      <w:r w:rsidRPr="00896AEC">
        <w:rPr>
          <w:b/>
          <w:bCs/>
        </w:rPr>
        <w:t>86.96% energy efficiency</w:t>
      </w:r>
      <w:r>
        <w:t>, whereas the common overlapped core window</w:t>
      </w:r>
      <w:r w:rsidR="0072060D">
        <w:t xml:space="preserve"> </w:t>
      </w:r>
      <w:r w:rsidR="0072060D" w:rsidRPr="0072060D">
        <w:rPr>
          <w:b/>
          <w:bCs/>
        </w:rPr>
        <w:t>(0.90 V to 1.65 V)</w:t>
      </w:r>
      <w:r>
        <w:t xml:space="preserve"> that both branches traverse well gives approximately </w:t>
      </w:r>
      <w:r w:rsidRPr="00896AEC">
        <w:rPr>
          <w:b/>
          <w:bCs/>
        </w:rPr>
        <w:t>94.90% energy efficiency</w:t>
      </w:r>
      <w:r>
        <w:t xml:space="preserve">. This indicates that most of the loss is associated with </w:t>
      </w:r>
      <w:r w:rsidRPr="00896AEC">
        <w:rPr>
          <w:b/>
          <w:bCs/>
        </w:rPr>
        <w:t>terminal hysteresis</w:t>
      </w:r>
      <w:r>
        <w:t xml:space="preserve">, </w:t>
      </w:r>
      <w:r w:rsidRPr="00896AEC">
        <w:rPr>
          <w:b/>
          <w:bCs/>
        </w:rPr>
        <w:t>current-reversal IR loss</w:t>
      </w:r>
      <w:r>
        <w:t xml:space="preserve">, and the </w:t>
      </w:r>
      <w:r w:rsidRPr="00896AEC">
        <w:rPr>
          <w:b/>
          <w:bCs/>
        </w:rPr>
        <w:t>upper charge window</w:t>
      </w:r>
      <w:r>
        <w:t xml:space="preserve"> rather than uniformly poor behavior across the whole cell.</w:t>
      </w:r>
    </w:p>
    <w:p w14:paraId="765E291C" w14:textId="77777777" w:rsidR="007D7B99" w:rsidRDefault="00000000" w:rsidP="00896AEC">
      <w:pPr>
        <w:pStyle w:val="BodyText"/>
        <w:jc w:val="both"/>
      </w:pPr>
      <w:r>
        <w:t xml:space="preserve">A neutral current derived from the raw data falls near </w:t>
      </w:r>
      <w:r w:rsidRPr="00896AEC">
        <w:rPr>
          <w:b/>
          <w:bCs/>
        </w:rPr>
        <w:t>3.3–3.5 A</w:t>
      </w:r>
      <w:r>
        <w:t xml:space="preserve">, depending on the capacitance definition used. The proposed standard current of </w:t>
      </w:r>
      <w:r w:rsidRPr="00896AEC">
        <w:rPr>
          <w:b/>
          <w:bCs/>
        </w:rPr>
        <w:t>20 mA·cm⁻²</w:t>
      </w:r>
      <w:r>
        <w:t xml:space="preserve"> over </w:t>
      </w:r>
      <w:r w:rsidRPr="00896AEC">
        <w:rPr>
          <w:b/>
          <w:bCs/>
        </w:rPr>
        <w:t>173.24 cm²</w:t>
      </w:r>
      <w:r>
        <w:t xml:space="preserve">, equal to </w:t>
      </w:r>
      <w:r w:rsidRPr="00896AEC">
        <w:rPr>
          <w:b/>
          <w:bCs/>
        </w:rPr>
        <w:t>3.465 A</w:t>
      </w:r>
      <w:r>
        <w:t>, lies directly inside this range and is therefore technically well aligned with the measured non-zinc-mode behavior.</w:t>
      </w:r>
    </w:p>
    <w:p w14:paraId="7AAC6F05" w14:textId="77777777" w:rsidR="00434001" w:rsidRDefault="0043400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analysis-basis-and-definitions"/>
      <w:bookmarkEnd w:id="2"/>
      <w:r>
        <w:br w:type="page"/>
      </w:r>
    </w:p>
    <w:p w14:paraId="155BFDE7" w14:textId="64E685EB" w:rsidR="007D7B99" w:rsidRDefault="00000000" w:rsidP="00896AEC">
      <w:pPr>
        <w:pStyle w:val="Heading2"/>
        <w:jc w:val="both"/>
      </w:pPr>
      <w:r>
        <w:lastRenderedPageBreak/>
        <w:t>Analysis Basis and Definitions</w:t>
      </w:r>
    </w:p>
    <w:p w14:paraId="7383044B" w14:textId="46527886" w:rsidR="007D7B99" w:rsidRDefault="00000000" w:rsidP="00434001">
      <w:pPr>
        <w:pStyle w:val="FirstParagraph"/>
        <w:jc w:val="both"/>
      </w:pPr>
      <w:r>
        <w:t xml:space="preserve">The stabilized CV interpretation </w:t>
      </w:r>
      <w:r w:rsidR="002C1C0B">
        <w:t>was based on</w:t>
      </w:r>
      <w:r>
        <w:t xml:space="preserve"> 4</w:t>
      </w:r>
      <w:r w:rsidR="002C1C0B">
        <w:t xml:space="preserve"> cycles.</w:t>
      </w:r>
      <w:r>
        <w:t xml:space="preserve"> The steady-state constant-current </w:t>
      </w:r>
      <w:r w:rsidR="002C1C0B">
        <w:t xml:space="preserve">cycling </w:t>
      </w:r>
      <w:r>
        <w:t xml:space="preserve">analysis </w:t>
      </w:r>
      <w:r w:rsidR="002C1C0B">
        <w:t>is based on</w:t>
      </w:r>
      <w:r>
        <w:t xml:space="preserve"> </w:t>
      </w:r>
      <w:r w:rsidR="002C1C0B">
        <w:t xml:space="preserve">20 cycles. </w:t>
      </w:r>
      <w:r>
        <w:t xml:space="preserve">For constant-current cycling, </w:t>
      </w:r>
      <w:r w:rsidR="002C1C0B">
        <w:t>w</w:t>
      </w:r>
      <w:r>
        <w:t>indow tables therefore report the effective terminal-accessed spans inside the nominal 0.85–1.70 V non-zinc window.</w:t>
      </w:r>
    </w:p>
    <w:p w14:paraId="2B723AA6" w14:textId="3FBFCC71" w:rsidR="00434001" w:rsidRDefault="00434001" w:rsidP="00434001">
      <w:pPr>
        <w:pStyle w:val="BodyText"/>
        <w:numPr>
          <w:ilvl w:val="0"/>
          <w:numId w:val="2"/>
        </w:numPr>
      </w:pPr>
      <w:r>
        <w:rPr>
          <w:rFonts w:eastAsiaTheme="minorEastAsia"/>
        </w:rPr>
        <w:t>Capacity, Ah:</w:t>
      </w:r>
      <w:r>
        <w:rPr>
          <w:rFonts w:eastAsiaTheme="minorEastAsia"/>
        </w:rPr>
        <w:tab/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m:rPr>
            <m:sty m:val="bi"/>
          </m:rPr>
          <w:rPr>
            <w:rFonts w:ascii="Cambria Math" w:hAnsi="Cambria Math"/>
          </w:rPr>
          <m:t xml:space="preserve">Q = </m:t>
        </m:r>
        <m:nary>
          <m:naryPr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nary>
        <m:r>
          <m:rPr>
            <m:sty m:val="bi"/>
          </m:rPr>
          <w:rPr>
            <w:rFonts w:ascii="Cambria Math" w:hAnsi="Cambria Math"/>
          </w:rPr>
          <m:t xml:space="preserve"> dt</m:t>
        </m:r>
      </m:oMath>
    </w:p>
    <w:p w14:paraId="315B4B91" w14:textId="0D819227" w:rsidR="00434001" w:rsidRDefault="00434001" w:rsidP="00434001">
      <w:pPr>
        <w:pStyle w:val="BodyText"/>
        <w:numPr>
          <w:ilvl w:val="0"/>
          <w:numId w:val="2"/>
        </w:numPr>
      </w:pPr>
      <w:r>
        <w:rPr>
          <w:rFonts w:eastAsiaTheme="minorEastAsia"/>
        </w:rPr>
        <w:t xml:space="preserve">Energy, </w:t>
      </w:r>
      <w:proofErr w:type="spellStart"/>
      <w:r>
        <w:rPr>
          <w:rFonts w:eastAsiaTheme="minorEastAsia"/>
        </w:rPr>
        <w:t>Wh</w:t>
      </w:r>
      <w:proofErr w:type="spellEnd"/>
      <w:r>
        <w:rPr>
          <w:rFonts w:eastAsiaTheme="minorEastAsia"/>
        </w:rPr>
        <w:t xml:space="preserve">: 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m:rPr>
            <m:sty m:val="bi"/>
          </m:rPr>
          <w:rPr>
            <w:rFonts w:ascii="Cambria Math" w:hAnsi="Cambria Math"/>
          </w:rPr>
          <m:t xml:space="preserve">E = </m:t>
        </m:r>
        <m:nary>
          <m:naryPr>
            <m:subHide m:val="1"/>
            <m:supHide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nary>
        <m:r>
          <m:rPr>
            <m:sty m:val="bi"/>
          </m:rPr>
          <w:rPr>
            <w:rFonts w:ascii="Cambria Math" w:hAnsi="Cambria Math"/>
          </w:rPr>
          <m:t xml:space="preserve"> I dt</m:t>
        </m:r>
      </m:oMath>
    </w:p>
    <w:p w14:paraId="5664CC23" w14:textId="07B8F236" w:rsidR="00434001" w:rsidRDefault="00434001" w:rsidP="00434001">
      <w:pPr>
        <w:pStyle w:val="BodyText"/>
        <w:numPr>
          <w:ilvl w:val="0"/>
          <w:numId w:val="2"/>
        </w:numPr>
      </w:pPr>
      <w:r>
        <w:t xml:space="preserve">Capacitance, F: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m:rPr>
            <m:sty m:val="bi"/>
          </m:rPr>
          <w:rPr>
            <w:rFonts w:ascii="Cambria Math" w:hAnsi="Cambria Math"/>
          </w:rPr>
          <m:t xml:space="preserve">C = I 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∆t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∆V</m:t>
            </m:r>
          </m:den>
        </m:f>
        <m:r>
          <m:rPr>
            <m:sty m:val="bi"/>
          </m:rPr>
          <w:rPr>
            <w:rFonts w:ascii="Cambria Math" w:hAnsi="Cambria Math"/>
          </w:rPr>
          <m:t>= 3600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ΔV</m:t>
            </m:r>
          </m:den>
        </m:f>
      </m:oMath>
      <w:r>
        <w:t xml:space="preserve"> </w:t>
      </w:r>
    </w:p>
    <w:p w14:paraId="085F05DA" w14:textId="1B7DC4A3" w:rsidR="00434001" w:rsidRDefault="00434001" w:rsidP="00434001">
      <w:pPr>
        <w:pStyle w:val="BodyText"/>
        <w:numPr>
          <w:ilvl w:val="0"/>
          <w:numId w:val="2"/>
        </w:numPr>
      </w:pPr>
      <w:r>
        <w:t xml:space="preserve">Coulombic Efficiency, %: </w:t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discharge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charge</m:t>
                </m:r>
              </m:sub>
            </m:sSub>
          </m:den>
        </m:f>
      </m:oMath>
      <w:r>
        <w:t xml:space="preserve"> </w:t>
      </w:r>
    </w:p>
    <w:p w14:paraId="17F8FEC5" w14:textId="4A6754A5" w:rsidR="00434001" w:rsidRDefault="00434001" w:rsidP="00434001">
      <w:pPr>
        <w:pStyle w:val="BodyText"/>
        <w:numPr>
          <w:ilvl w:val="0"/>
          <w:numId w:val="2"/>
        </w:numPr>
      </w:pPr>
      <w:r>
        <w:t xml:space="preserve">Energy Efficiency, %: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discharge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charge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2C1C0B">
        <w:t xml:space="preserve"> </w:t>
      </w:r>
    </w:p>
    <w:p w14:paraId="16C3C934" w14:textId="1435ABA8" w:rsidR="00434001" w:rsidRDefault="00434001" w:rsidP="00434001">
      <w:pPr>
        <w:pStyle w:val="BodyText"/>
        <w:numPr>
          <w:ilvl w:val="0"/>
          <w:numId w:val="2"/>
        </w:numPr>
      </w:pPr>
      <w:r>
        <w:rPr>
          <w:rFonts w:eastAsiaTheme="minorEastAsia"/>
        </w:rPr>
        <w:t xml:space="preserve">Voltage Efficiency, %: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η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η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sub>
            </m:sSub>
          </m:den>
        </m:f>
      </m:oMath>
      <w:r>
        <w:t xml:space="preserve"> </w:t>
      </w:r>
    </w:p>
    <w:p w14:paraId="62FEB62A" w14:textId="093B1A9E" w:rsidR="00434001" w:rsidRDefault="00434001" w:rsidP="00434001">
      <w:pPr>
        <w:pStyle w:val="BodyText"/>
        <w:numPr>
          <w:ilvl w:val="0"/>
          <w:numId w:val="2"/>
        </w:numPr>
      </w:pPr>
      <w:r>
        <w:rPr>
          <w:rFonts w:eastAsiaTheme="minorEastAsia"/>
        </w:rPr>
        <w:t xml:space="preserve">Current Reversal ESR, </w:t>
      </w:r>
      <w:proofErr w:type="spellStart"/>
      <w:r>
        <w:t>mΩ</w:t>
      </w:r>
      <w:proofErr w:type="spellEnd"/>
      <w:r>
        <w:t>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m:rPr>
            <m:sty m:val="bi"/>
          </m:rPr>
          <w:rPr>
            <w:rFonts w:ascii="Cambria Math" w:hAnsi="Cambria Math"/>
          </w:rPr>
          <m:t xml:space="preserve"> ESR = 1000 ×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ΔV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charge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</w:rPr>
              <m:t xml:space="preserve">+ 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discharge</m:t>
                    </m:r>
                  </m:sub>
                </m:sSub>
              </m:e>
            </m:d>
          </m:den>
        </m:f>
      </m:oMath>
      <w:r>
        <w:t xml:space="preserve"> </w:t>
      </w:r>
    </w:p>
    <w:p w14:paraId="0448956E" w14:textId="283D988C" w:rsidR="007D7B99" w:rsidRDefault="00434001" w:rsidP="00434001">
      <w:pPr>
        <w:pStyle w:val="BodyText"/>
        <w:numPr>
          <w:ilvl w:val="0"/>
          <w:numId w:val="2"/>
        </w:numPr>
      </w:pPr>
      <w:r>
        <w:t>Current equivalent to CV scan, A:</w:t>
      </w:r>
      <w:r>
        <w:tab/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std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≈ C × ν </m:t>
        </m:r>
      </m:oMath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D7B99" w:rsidRPr="002C1C0B" w14:paraId="78CCC8E6" w14:textId="77777777" w:rsidTr="00944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788" w:type="dxa"/>
            <w:vAlign w:val="center"/>
          </w:tcPr>
          <w:p w14:paraId="6F994AE4" w14:textId="77777777" w:rsidR="007D7B99" w:rsidRPr="002C1C0B" w:rsidRDefault="00000000" w:rsidP="00944C74">
            <w:pPr>
              <w:pStyle w:val="Compact"/>
              <w:jc w:val="center"/>
              <w:rPr>
                <w:b/>
                <w:bCs/>
              </w:rPr>
            </w:pPr>
            <w:r w:rsidRPr="002C1C0B">
              <w:rPr>
                <w:b/>
                <w:bCs/>
              </w:rPr>
              <w:t>Item</w:t>
            </w:r>
          </w:p>
        </w:tc>
        <w:tc>
          <w:tcPr>
            <w:tcW w:w="4788" w:type="dxa"/>
            <w:vAlign w:val="center"/>
          </w:tcPr>
          <w:p w14:paraId="66DAF3ED" w14:textId="77777777" w:rsidR="007D7B99" w:rsidRPr="002C1C0B" w:rsidRDefault="00000000" w:rsidP="00944C74">
            <w:pPr>
              <w:pStyle w:val="Compact"/>
              <w:jc w:val="center"/>
              <w:rPr>
                <w:b/>
                <w:bCs/>
              </w:rPr>
            </w:pPr>
            <w:r w:rsidRPr="002C1C0B">
              <w:rPr>
                <w:b/>
                <w:bCs/>
              </w:rPr>
              <w:t>Value</w:t>
            </w:r>
          </w:p>
        </w:tc>
      </w:tr>
      <w:tr w:rsidR="007D7B99" w:rsidRPr="002C1C0B" w14:paraId="02AEFC83" w14:textId="77777777" w:rsidTr="00944C74">
        <w:trPr>
          <w:jc w:val="center"/>
        </w:trPr>
        <w:tc>
          <w:tcPr>
            <w:tcW w:w="4788" w:type="dxa"/>
            <w:vAlign w:val="center"/>
          </w:tcPr>
          <w:p w14:paraId="75E42B88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CV protocol</w:t>
            </w:r>
          </w:p>
        </w:tc>
        <w:tc>
          <w:tcPr>
            <w:tcW w:w="4788" w:type="dxa"/>
            <w:vAlign w:val="center"/>
          </w:tcPr>
          <w:p w14:paraId="4D66FAC3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0.50 → 1.72 → 0.50 V at 10 mV/s, repeated 4 cycles</w:t>
            </w:r>
          </w:p>
        </w:tc>
      </w:tr>
      <w:tr w:rsidR="007D7B99" w:rsidRPr="002C1C0B" w14:paraId="42755A7B" w14:textId="77777777" w:rsidTr="00944C74">
        <w:trPr>
          <w:jc w:val="center"/>
        </w:trPr>
        <w:tc>
          <w:tcPr>
            <w:tcW w:w="4788" w:type="dxa"/>
            <w:vAlign w:val="center"/>
          </w:tcPr>
          <w:p w14:paraId="0E19CFC3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CC cycling protocol</w:t>
            </w:r>
          </w:p>
        </w:tc>
        <w:tc>
          <w:tcPr>
            <w:tcW w:w="4788" w:type="dxa"/>
            <w:vAlign w:val="center"/>
          </w:tcPr>
          <w:p w14:paraId="0F4418BA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20 cycles at ±4.5 A between nominal 0.85 and 1.70 V</w:t>
            </w:r>
          </w:p>
        </w:tc>
      </w:tr>
    </w:tbl>
    <w:p w14:paraId="69F9005E" w14:textId="77777777" w:rsidR="00D404FE" w:rsidRDefault="00D404FE" w:rsidP="00896AEC">
      <w:pPr>
        <w:pStyle w:val="Heading2"/>
        <w:jc w:val="both"/>
      </w:pPr>
      <w:bookmarkStart w:id="4" w:name="raw-file-regime-map-from-cv-only"/>
      <w:bookmarkEnd w:id="3"/>
    </w:p>
    <w:p w14:paraId="7D8C07DB" w14:textId="77777777" w:rsidR="00D404FE" w:rsidRDefault="00D404F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8552F8C" w14:textId="108FF3E3" w:rsidR="007D7B99" w:rsidRDefault="00000000" w:rsidP="00896AEC">
      <w:pPr>
        <w:pStyle w:val="Heading2"/>
        <w:jc w:val="both"/>
      </w:pPr>
      <w:r>
        <w:lastRenderedPageBreak/>
        <w:t>1) Regime Map from C</w:t>
      </w:r>
      <w:r w:rsidR="00EA1AEB">
        <w:t xml:space="preserve">yclic </w:t>
      </w:r>
      <w:r>
        <w:t>V</w:t>
      </w:r>
      <w:r w:rsidR="00EA1AEB">
        <w:t>olta</w:t>
      </w:r>
      <w:r w:rsidR="002C1C0B">
        <w:t>mmetry (CV)</w:t>
      </w:r>
    </w:p>
    <w:p w14:paraId="570E0153" w14:textId="6C723565" w:rsidR="007D7B99" w:rsidRDefault="00000000" w:rsidP="00896AEC">
      <w:pPr>
        <w:pStyle w:val="FirstParagraph"/>
        <w:jc w:val="both"/>
      </w:pPr>
      <w:r>
        <w:t xml:space="preserve">Using </w:t>
      </w:r>
      <w:r w:rsidR="002C1C0B">
        <w:t>stabilized</w:t>
      </w:r>
      <w:r>
        <w:t xml:space="preserve"> forward and reverse CV loops only, the charge and discharge behavior is not symmetric.</w:t>
      </w:r>
      <w:r w:rsidR="002C1C0B">
        <w:t xml:space="preserve"> See </w:t>
      </w:r>
      <w:r w:rsidR="000C0D11">
        <w:fldChar w:fldCharType="begin"/>
      </w:r>
      <w:r w:rsidR="000C0D11">
        <w:instrText xml:space="preserve"> REF _Ref224128711 \h </w:instrText>
      </w:r>
      <w:r w:rsidR="000C0D11">
        <w:fldChar w:fldCharType="separate"/>
      </w:r>
      <w:r w:rsidR="000C0D11">
        <w:t xml:space="preserve">Figure </w:t>
      </w:r>
      <w:r w:rsidR="000C0D11">
        <w:rPr>
          <w:noProof/>
        </w:rPr>
        <w:t>1</w:t>
      </w:r>
      <w:r w:rsidR="000C0D11">
        <w:fldChar w:fldCharType="end"/>
      </w:r>
      <w:r w:rsidR="002C1C0B">
        <w:t>.</w:t>
      </w:r>
    </w:p>
    <w:p w14:paraId="4F55A378" w14:textId="77777777" w:rsidR="007D7B99" w:rsidRDefault="00000000" w:rsidP="00896AEC">
      <w:pPr>
        <w:pStyle w:val="BodyText"/>
        <w:jc w:val="both"/>
      </w:pPr>
      <w:r w:rsidRPr="000C0D11">
        <w:rPr>
          <w:b/>
          <w:bCs/>
        </w:rPr>
        <w:t>Charge branch (0.50 → 1.72 V):</w:t>
      </w:r>
      <w:r>
        <w:t xml:space="preserve"> the </w:t>
      </w:r>
      <w:r w:rsidRPr="000C0D11">
        <w:rPr>
          <w:b/>
          <w:bCs/>
        </w:rPr>
        <w:t>low-voltage region</w:t>
      </w:r>
      <w:r>
        <w:t xml:space="preserve"> up to approximately </w:t>
      </w:r>
      <w:r w:rsidRPr="000C0D11">
        <w:rPr>
          <w:b/>
          <w:bCs/>
        </w:rPr>
        <w:t>0.70 V</w:t>
      </w:r>
      <w:r>
        <w:t xml:space="preserve"> is </w:t>
      </w:r>
      <w:r w:rsidRPr="000C0D11">
        <w:rPr>
          <w:b/>
          <w:bCs/>
        </w:rPr>
        <w:t>EDLC-like or mostly non-faradaic</w:t>
      </w:r>
      <w:r>
        <w:t xml:space="preserve">, the region from approximately </w:t>
      </w:r>
      <w:r w:rsidRPr="000C0D11">
        <w:rPr>
          <w:b/>
          <w:bCs/>
        </w:rPr>
        <w:t>0.70 to 1.45 V is hybrid / pseudocapacitive-dominant</w:t>
      </w:r>
      <w:r>
        <w:t xml:space="preserve">, and the region from approximately </w:t>
      </w:r>
      <w:r w:rsidRPr="000C0D11">
        <w:rPr>
          <w:b/>
          <w:bCs/>
        </w:rPr>
        <w:t>1.45 to 1.72 V</w:t>
      </w:r>
      <w:r>
        <w:t xml:space="preserve"> is </w:t>
      </w:r>
      <w:r w:rsidRPr="000C0D11">
        <w:rPr>
          <w:b/>
          <w:bCs/>
        </w:rPr>
        <w:t>faradaic-dominant</w:t>
      </w:r>
      <w:r>
        <w:t>.</w:t>
      </w:r>
    </w:p>
    <w:p w14:paraId="236D1607" w14:textId="77777777" w:rsidR="007D7B99" w:rsidRDefault="00000000" w:rsidP="00896AEC">
      <w:pPr>
        <w:pStyle w:val="BodyText"/>
        <w:jc w:val="both"/>
      </w:pPr>
      <w:r w:rsidRPr="000C0D11">
        <w:rPr>
          <w:b/>
          <w:bCs/>
        </w:rPr>
        <w:t>Discharge branch (1.72 → 0.50 V):</w:t>
      </w:r>
      <w:r>
        <w:t xml:space="preserve"> the immediate upper segment from approximately </w:t>
      </w:r>
      <w:r w:rsidRPr="000C0D11">
        <w:rPr>
          <w:b/>
          <w:bCs/>
        </w:rPr>
        <w:t>1.72</w:t>
      </w:r>
      <w:r>
        <w:t xml:space="preserve"> down to </w:t>
      </w:r>
      <w:r w:rsidRPr="000C0D11">
        <w:rPr>
          <w:b/>
          <w:bCs/>
        </w:rPr>
        <w:t>1.65 V</w:t>
      </w:r>
      <w:r>
        <w:t xml:space="preserve"> is a </w:t>
      </w:r>
      <w:r w:rsidRPr="000C0D11">
        <w:rPr>
          <w:b/>
          <w:bCs/>
        </w:rPr>
        <w:t>turnaround / stored-polarization relaxation region</w:t>
      </w:r>
      <w:r>
        <w:t xml:space="preserve">; the broad segment from approximately </w:t>
      </w:r>
      <w:r w:rsidRPr="000C0D11">
        <w:rPr>
          <w:b/>
          <w:bCs/>
        </w:rPr>
        <w:t>1.65 down to 0.60 V</w:t>
      </w:r>
      <w:r>
        <w:t xml:space="preserve"> is a </w:t>
      </w:r>
      <w:r w:rsidRPr="000C0D11">
        <w:rPr>
          <w:b/>
          <w:bCs/>
        </w:rPr>
        <w:t>quasi-capacitive / hybrid plateau</w:t>
      </w:r>
      <w:r>
        <w:t xml:space="preserve">; and the lower segment from approximately </w:t>
      </w:r>
      <w:r w:rsidRPr="000C0D11">
        <w:rPr>
          <w:b/>
          <w:bCs/>
        </w:rPr>
        <w:t>0.60 down to 0.50 V</w:t>
      </w:r>
      <w:r>
        <w:t xml:space="preserve"> is a </w:t>
      </w:r>
      <w:r w:rsidRPr="000C0D11">
        <w:rPr>
          <w:b/>
          <w:bCs/>
        </w:rPr>
        <w:t>lower-voltage tail / roll-off</w:t>
      </w:r>
      <w:r>
        <w:t>.</w:t>
      </w:r>
    </w:p>
    <w:p w14:paraId="2AF2BF72" w14:textId="77777777" w:rsidR="007D7B99" w:rsidRDefault="00000000" w:rsidP="00896AEC">
      <w:pPr>
        <w:pStyle w:val="BodyText"/>
        <w:jc w:val="both"/>
      </w:pPr>
      <w:r>
        <w:t>This asymmetry is the main reason the discharge branch is the better basis for standard non-zinc parameter extraction. The forward scan and charge branch increasingly include upper-window faradaic amplification and should not be treated as if the device were a symmetric supercapacitor.</w:t>
      </w:r>
    </w:p>
    <w:p w14:paraId="59BC4B08" w14:textId="77777777" w:rsidR="00D404FE" w:rsidRDefault="00896AEC" w:rsidP="00D404FE">
      <w:pPr>
        <w:pStyle w:val="BodyText"/>
        <w:keepNext/>
        <w:jc w:val="both"/>
      </w:pPr>
      <w:r>
        <w:rPr>
          <w:noProof/>
        </w:rPr>
        <w:drawing>
          <wp:inline distT="0" distB="0" distL="0" distR="0" wp14:anchorId="3F476D43" wp14:editId="7392CC2A">
            <wp:extent cx="5942965" cy="4162425"/>
            <wp:effectExtent l="0" t="0" r="0" b="0"/>
            <wp:docPr id="23221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35" cy="419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FA79" w14:textId="0EDA9E0D" w:rsidR="002C1C0B" w:rsidRDefault="00D404FE" w:rsidP="00D404FE">
      <w:pPr>
        <w:pStyle w:val="Caption"/>
        <w:jc w:val="both"/>
      </w:pPr>
      <w:bookmarkStart w:id="5" w:name="_Ref224128711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5"/>
      <w:r>
        <w:t>: Characteristic Cyclic Voltammetry of Geyser Cells.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D7B99" w:rsidRPr="00944C74" w14:paraId="14056FCB" w14:textId="77777777" w:rsidTr="002C6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  <w:vAlign w:val="center"/>
          </w:tcPr>
          <w:p w14:paraId="3DA73508" w14:textId="77777777" w:rsidR="007D7B99" w:rsidRPr="00944C74" w:rsidRDefault="00000000" w:rsidP="00944C74">
            <w:pPr>
              <w:pStyle w:val="Compact"/>
              <w:jc w:val="center"/>
              <w:rPr>
                <w:b/>
                <w:bCs/>
              </w:rPr>
            </w:pPr>
            <w:r w:rsidRPr="00944C74">
              <w:rPr>
                <w:b/>
                <w:bCs/>
              </w:rPr>
              <w:lastRenderedPageBreak/>
              <w:t>Branch</w:t>
            </w:r>
          </w:p>
        </w:tc>
        <w:tc>
          <w:tcPr>
            <w:tcW w:w="3192" w:type="dxa"/>
            <w:vAlign w:val="center"/>
          </w:tcPr>
          <w:p w14:paraId="52AA4BB9" w14:textId="77777777" w:rsidR="007D7B99" w:rsidRPr="00944C74" w:rsidRDefault="00000000" w:rsidP="00944C74">
            <w:pPr>
              <w:pStyle w:val="Compact"/>
              <w:jc w:val="center"/>
              <w:rPr>
                <w:b/>
                <w:bCs/>
              </w:rPr>
            </w:pPr>
            <w:r w:rsidRPr="00944C74">
              <w:rPr>
                <w:b/>
                <w:bCs/>
              </w:rPr>
              <w:t>Voltage range</w:t>
            </w:r>
          </w:p>
        </w:tc>
        <w:tc>
          <w:tcPr>
            <w:tcW w:w="3192" w:type="dxa"/>
            <w:vAlign w:val="center"/>
          </w:tcPr>
          <w:p w14:paraId="6A27CD8C" w14:textId="77777777" w:rsidR="007D7B99" w:rsidRPr="00944C74" w:rsidRDefault="00000000" w:rsidP="00944C74">
            <w:pPr>
              <w:pStyle w:val="Compact"/>
              <w:jc w:val="center"/>
              <w:rPr>
                <w:b/>
                <w:bCs/>
              </w:rPr>
            </w:pPr>
            <w:r w:rsidRPr="00944C74">
              <w:rPr>
                <w:b/>
                <w:bCs/>
              </w:rPr>
              <w:t>Interpretation</w:t>
            </w:r>
          </w:p>
        </w:tc>
      </w:tr>
      <w:tr w:rsidR="007D7B99" w:rsidRPr="00944C74" w14:paraId="3AAA8BCE" w14:textId="77777777" w:rsidTr="002C6524">
        <w:tc>
          <w:tcPr>
            <w:tcW w:w="3192" w:type="dxa"/>
            <w:vAlign w:val="center"/>
          </w:tcPr>
          <w:p w14:paraId="2F9E82DB" w14:textId="77777777" w:rsidR="007D7B99" w:rsidRPr="00F23565" w:rsidRDefault="00000000" w:rsidP="00944C74">
            <w:pPr>
              <w:pStyle w:val="Compact"/>
              <w:jc w:val="center"/>
              <w:rPr>
                <w:color w:val="0070C0"/>
              </w:rPr>
            </w:pPr>
            <w:r w:rsidRPr="00F23565">
              <w:rPr>
                <w:color w:val="0070C0"/>
              </w:rPr>
              <w:t>Forward scan (charge-like)</w:t>
            </w:r>
          </w:p>
        </w:tc>
        <w:tc>
          <w:tcPr>
            <w:tcW w:w="3192" w:type="dxa"/>
            <w:vAlign w:val="center"/>
          </w:tcPr>
          <w:p w14:paraId="6F0EE9AA" w14:textId="77777777" w:rsidR="007D7B99" w:rsidRPr="00F23565" w:rsidRDefault="00000000" w:rsidP="00944C74">
            <w:pPr>
              <w:pStyle w:val="Compact"/>
              <w:jc w:val="center"/>
              <w:rPr>
                <w:color w:val="0070C0"/>
              </w:rPr>
            </w:pPr>
            <w:r w:rsidRPr="00F23565">
              <w:rPr>
                <w:color w:val="0070C0"/>
              </w:rPr>
              <w:t>0.50–0.70 V</w:t>
            </w:r>
          </w:p>
        </w:tc>
        <w:tc>
          <w:tcPr>
            <w:tcW w:w="3192" w:type="dxa"/>
            <w:vAlign w:val="center"/>
          </w:tcPr>
          <w:p w14:paraId="2A27245B" w14:textId="77777777" w:rsidR="007D7B99" w:rsidRPr="00F23565" w:rsidRDefault="00000000" w:rsidP="00944C74">
            <w:pPr>
              <w:pStyle w:val="Compact"/>
              <w:jc w:val="center"/>
              <w:rPr>
                <w:color w:val="0070C0"/>
              </w:rPr>
            </w:pPr>
            <w:r w:rsidRPr="00F23565">
              <w:rPr>
                <w:color w:val="0070C0"/>
              </w:rPr>
              <w:t>Predominantly EDLC-like startup / mostly non-faradaic</w:t>
            </w:r>
          </w:p>
        </w:tc>
      </w:tr>
      <w:tr w:rsidR="007D7B99" w:rsidRPr="00944C74" w14:paraId="02E7EF62" w14:textId="77777777" w:rsidTr="002C6524">
        <w:tc>
          <w:tcPr>
            <w:tcW w:w="3192" w:type="dxa"/>
            <w:vAlign w:val="center"/>
          </w:tcPr>
          <w:p w14:paraId="3BC22205" w14:textId="77777777" w:rsidR="007D7B99" w:rsidRPr="00F23565" w:rsidRDefault="00000000" w:rsidP="00944C74">
            <w:pPr>
              <w:pStyle w:val="Compact"/>
              <w:jc w:val="center"/>
              <w:rPr>
                <w:color w:val="0070C0"/>
              </w:rPr>
            </w:pPr>
            <w:r w:rsidRPr="00F23565">
              <w:rPr>
                <w:color w:val="0070C0"/>
              </w:rPr>
              <w:t>Forward scan (charge-like)</w:t>
            </w:r>
          </w:p>
        </w:tc>
        <w:tc>
          <w:tcPr>
            <w:tcW w:w="3192" w:type="dxa"/>
            <w:vAlign w:val="center"/>
          </w:tcPr>
          <w:p w14:paraId="219FFEE6" w14:textId="77777777" w:rsidR="007D7B99" w:rsidRPr="00F23565" w:rsidRDefault="00000000" w:rsidP="00944C74">
            <w:pPr>
              <w:pStyle w:val="Compact"/>
              <w:jc w:val="center"/>
              <w:rPr>
                <w:color w:val="0070C0"/>
              </w:rPr>
            </w:pPr>
            <w:r w:rsidRPr="00F23565">
              <w:rPr>
                <w:color w:val="0070C0"/>
              </w:rPr>
              <w:t>0.70–1.45 V</w:t>
            </w:r>
          </w:p>
        </w:tc>
        <w:tc>
          <w:tcPr>
            <w:tcW w:w="3192" w:type="dxa"/>
            <w:vAlign w:val="center"/>
          </w:tcPr>
          <w:p w14:paraId="1202724F" w14:textId="77777777" w:rsidR="007D7B99" w:rsidRPr="00F23565" w:rsidRDefault="00000000" w:rsidP="00944C74">
            <w:pPr>
              <w:pStyle w:val="Compact"/>
              <w:jc w:val="center"/>
              <w:rPr>
                <w:color w:val="0070C0"/>
              </w:rPr>
            </w:pPr>
            <w:r w:rsidRPr="00F23565">
              <w:rPr>
                <w:color w:val="0070C0"/>
              </w:rPr>
              <w:t>Hybrid / pseudocapacitive-dominant</w:t>
            </w:r>
          </w:p>
        </w:tc>
      </w:tr>
      <w:tr w:rsidR="007D7B99" w:rsidRPr="00944C74" w14:paraId="024D631F" w14:textId="77777777" w:rsidTr="002C6524">
        <w:tc>
          <w:tcPr>
            <w:tcW w:w="3192" w:type="dxa"/>
            <w:vAlign w:val="center"/>
          </w:tcPr>
          <w:p w14:paraId="16D73C4D" w14:textId="77777777" w:rsidR="007D7B99" w:rsidRPr="00F23565" w:rsidRDefault="00000000" w:rsidP="00944C74">
            <w:pPr>
              <w:pStyle w:val="Compact"/>
              <w:jc w:val="center"/>
              <w:rPr>
                <w:color w:val="0070C0"/>
              </w:rPr>
            </w:pPr>
            <w:r w:rsidRPr="00F23565">
              <w:rPr>
                <w:color w:val="0070C0"/>
              </w:rPr>
              <w:t>Forward scan (charge-like)</w:t>
            </w:r>
          </w:p>
        </w:tc>
        <w:tc>
          <w:tcPr>
            <w:tcW w:w="3192" w:type="dxa"/>
            <w:vAlign w:val="center"/>
          </w:tcPr>
          <w:p w14:paraId="5A310434" w14:textId="77777777" w:rsidR="007D7B99" w:rsidRPr="00F23565" w:rsidRDefault="00000000" w:rsidP="00944C74">
            <w:pPr>
              <w:pStyle w:val="Compact"/>
              <w:jc w:val="center"/>
              <w:rPr>
                <w:color w:val="0070C0"/>
              </w:rPr>
            </w:pPr>
            <w:r w:rsidRPr="00F23565">
              <w:rPr>
                <w:color w:val="0070C0"/>
              </w:rPr>
              <w:t>1.45–1.72 V</w:t>
            </w:r>
          </w:p>
        </w:tc>
        <w:tc>
          <w:tcPr>
            <w:tcW w:w="3192" w:type="dxa"/>
            <w:vAlign w:val="center"/>
          </w:tcPr>
          <w:p w14:paraId="257B3282" w14:textId="77777777" w:rsidR="007D7B99" w:rsidRPr="00F23565" w:rsidRDefault="00000000" w:rsidP="00944C74">
            <w:pPr>
              <w:pStyle w:val="Compact"/>
              <w:jc w:val="center"/>
              <w:rPr>
                <w:color w:val="0070C0"/>
              </w:rPr>
            </w:pPr>
            <w:r w:rsidRPr="00F23565">
              <w:rPr>
                <w:color w:val="0070C0"/>
              </w:rPr>
              <w:t>Faradaic-dominant upper region</w:t>
            </w:r>
          </w:p>
        </w:tc>
      </w:tr>
      <w:tr w:rsidR="007D7B99" w:rsidRPr="00944C74" w14:paraId="0D746E1D" w14:textId="77777777" w:rsidTr="002C6524">
        <w:tc>
          <w:tcPr>
            <w:tcW w:w="3192" w:type="dxa"/>
            <w:vAlign w:val="center"/>
          </w:tcPr>
          <w:p w14:paraId="6DE05115" w14:textId="77777777" w:rsidR="007D7B99" w:rsidRPr="00F23565" w:rsidRDefault="00000000" w:rsidP="00944C74">
            <w:pPr>
              <w:pStyle w:val="Compact"/>
              <w:jc w:val="center"/>
              <w:rPr>
                <w:color w:val="EE0000"/>
              </w:rPr>
            </w:pPr>
            <w:r w:rsidRPr="00F23565">
              <w:rPr>
                <w:color w:val="EE0000"/>
              </w:rPr>
              <w:t>Reverse scan (discharge-like)</w:t>
            </w:r>
          </w:p>
        </w:tc>
        <w:tc>
          <w:tcPr>
            <w:tcW w:w="3192" w:type="dxa"/>
            <w:vAlign w:val="center"/>
          </w:tcPr>
          <w:p w14:paraId="51939501" w14:textId="77777777" w:rsidR="007D7B99" w:rsidRPr="00F23565" w:rsidRDefault="00000000" w:rsidP="00944C74">
            <w:pPr>
              <w:pStyle w:val="Compact"/>
              <w:jc w:val="center"/>
              <w:rPr>
                <w:color w:val="EE0000"/>
              </w:rPr>
            </w:pPr>
            <w:r w:rsidRPr="00F23565">
              <w:rPr>
                <w:color w:val="EE0000"/>
              </w:rPr>
              <w:t>1.72–1.65 V</w:t>
            </w:r>
          </w:p>
        </w:tc>
        <w:tc>
          <w:tcPr>
            <w:tcW w:w="3192" w:type="dxa"/>
            <w:vAlign w:val="center"/>
          </w:tcPr>
          <w:p w14:paraId="25C83A61" w14:textId="77777777" w:rsidR="007D7B99" w:rsidRPr="00F23565" w:rsidRDefault="00000000" w:rsidP="00944C74">
            <w:pPr>
              <w:pStyle w:val="Compact"/>
              <w:jc w:val="center"/>
              <w:rPr>
                <w:color w:val="EE0000"/>
              </w:rPr>
            </w:pPr>
            <w:r w:rsidRPr="00F23565">
              <w:rPr>
                <w:color w:val="EE0000"/>
              </w:rPr>
              <w:t>Turnaround / stored polarization</w:t>
            </w:r>
          </w:p>
        </w:tc>
      </w:tr>
      <w:tr w:rsidR="007D7B99" w:rsidRPr="00944C74" w14:paraId="1B94B2B6" w14:textId="77777777" w:rsidTr="002C6524">
        <w:tc>
          <w:tcPr>
            <w:tcW w:w="3192" w:type="dxa"/>
            <w:vAlign w:val="center"/>
          </w:tcPr>
          <w:p w14:paraId="46B0FDF7" w14:textId="77777777" w:rsidR="007D7B99" w:rsidRPr="00F23565" w:rsidRDefault="00000000" w:rsidP="00944C74">
            <w:pPr>
              <w:pStyle w:val="Compact"/>
              <w:jc w:val="center"/>
              <w:rPr>
                <w:color w:val="EE0000"/>
              </w:rPr>
            </w:pPr>
            <w:r w:rsidRPr="00F23565">
              <w:rPr>
                <w:color w:val="EE0000"/>
              </w:rPr>
              <w:t>Reverse scan (discharge-like)</w:t>
            </w:r>
          </w:p>
        </w:tc>
        <w:tc>
          <w:tcPr>
            <w:tcW w:w="3192" w:type="dxa"/>
            <w:vAlign w:val="center"/>
          </w:tcPr>
          <w:p w14:paraId="0F0BC5C0" w14:textId="77777777" w:rsidR="007D7B99" w:rsidRPr="00F23565" w:rsidRDefault="00000000" w:rsidP="00944C74">
            <w:pPr>
              <w:pStyle w:val="Compact"/>
              <w:jc w:val="center"/>
              <w:rPr>
                <w:color w:val="EE0000"/>
              </w:rPr>
            </w:pPr>
            <w:r w:rsidRPr="00F23565">
              <w:rPr>
                <w:color w:val="EE0000"/>
              </w:rPr>
              <w:t>1.65–0.60 V</w:t>
            </w:r>
          </w:p>
        </w:tc>
        <w:tc>
          <w:tcPr>
            <w:tcW w:w="3192" w:type="dxa"/>
            <w:vAlign w:val="center"/>
          </w:tcPr>
          <w:p w14:paraId="51AE0222" w14:textId="77777777" w:rsidR="007D7B99" w:rsidRPr="00F23565" w:rsidRDefault="00000000" w:rsidP="00944C74">
            <w:pPr>
              <w:pStyle w:val="Compact"/>
              <w:jc w:val="center"/>
              <w:rPr>
                <w:color w:val="EE0000"/>
              </w:rPr>
            </w:pPr>
            <w:r w:rsidRPr="00F23565">
              <w:rPr>
                <w:color w:val="EE0000"/>
              </w:rPr>
              <w:t>Broad quasi-capacitive / hybrid plateau</w:t>
            </w:r>
          </w:p>
        </w:tc>
      </w:tr>
      <w:tr w:rsidR="007D7B99" w:rsidRPr="00944C74" w14:paraId="6D45CACD" w14:textId="77777777" w:rsidTr="002C6524">
        <w:tc>
          <w:tcPr>
            <w:tcW w:w="3192" w:type="dxa"/>
            <w:vAlign w:val="center"/>
          </w:tcPr>
          <w:p w14:paraId="3298BA39" w14:textId="77777777" w:rsidR="007D7B99" w:rsidRPr="00F23565" w:rsidRDefault="00000000" w:rsidP="00944C74">
            <w:pPr>
              <w:pStyle w:val="Compact"/>
              <w:jc w:val="center"/>
              <w:rPr>
                <w:color w:val="EE0000"/>
              </w:rPr>
            </w:pPr>
            <w:r w:rsidRPr="00F23565">
              <w:rPr>
                <w:color w:val="EE0000"/>
              </w:rPr>
              <w:t>Reverse scan (discharge-like)</w:t>
            </w:r>
          </w:p>
        </w:tc>
        <w:tc>
          <w:tcPr>
            <w:tcW w:w="3192" w:type="dxa"/>
            <w:vAlign w:val="center"/>
          </w:tcPr>
          <w:p w14:paraId="282CE8D6" w14:textId="77777777" w:rsidR="007D7B99" w:rsidRPr="00F23565" w:rsidRDefault="00000000" w:rsidP="00944C74">
            <w:pPr>
              <w:pStyle w:val="Compact"/>
              <w:jc w:val="center"/>
              <w:rPr>
                <w:color w:val="EE0000"/>
              </w:rPr>
            </w:pPr>
            <w:r w:rsidRPr="00F23565">
              <w:rPr>
                <w:color w:val="EE0000"/>
              </w:rPr>
              <w:t>0.60–0.50 V</w:t>
            </w:r>
          </w:p>
        </w:tc>
        <w:tc>
          <w:tcPr>
            <w:tcW w:w="3192" w:type="dxa"/>
            <w:vAlign w:val="center"/>
          </w:tcPr>
          <w:p w14:paraId="5DED2232" w14:textId="77777777" w:rsidR="007D7B99" w:rsidRPr="00F23565" w:rsidRDefault="00000000" w:rsidP="00944C74">
            <w:pPr>
              <w:pStyle w:val="Compact"/>
              <w:jc w:val="center"/>
              <w:rPr>
                <w:color w:val="EE0000"/>
              </w:rPr>
            </w:pPr>
            <w:r w:rsidRPr="00F23565">
              <w:rPr>
                <w:color w:val="EE0000"/>
              </w:rPr>
              <w:t>Lower-voltage roll-off</w:t>
            </w:r>
          </w:p>
        </w:tc>
      </w:tr>
    </w:tbl>
    <w:p w14:paraId="5F776B3E" w14:textId="77777777" w:rsidR="002C6524" w:rsidRDefault="002C6524" w:rsidP="002C6524">
      <w:pPr>
        <w:pStyle w:val="FirstParagraph"/>
        <w:jc w:val="both"/>
      </w:pPr>
      <w:bookmarkStart w:id="6" w:name="Xe6ede8cc0ae1bba1ce2cc703767a002b92c40cb"/>
      <w:bookmarkEnd w:id="4"/>
      <w:r>
        <w:t xml:space="preserve">The forward and reverse scans confirm that the full-cell behavior is </w:t>
      </w:r>
      <w:r w:rsidRPr="002C6524">
        <w:rPr>
          <w:b/>
          <w:bCs/>
        </w:rPr>
        <w:t>asymmetric</w:t>
      </w:r>
      <w:r>
        <w:t xml:space="preserve"> even when evaluated continuously over the entire </w:t>
      </w:r>
      <w:r w:rsidRPr="002C6524">
        <w:rPr>
          <w:b/>
          <w:bCs/>
        </w:rPr>
        <w:t>0.50–1.72 V sweep</w:t>
      </w:r>
      <w:r>
        <w:t>.</w:t>
      </w:r>
    </w:p>
    <w:p w14:paraId="035A1F3D" w14:textId="77777777" w:rsidR="002C6524" w:rsidRDefault="002C6524" w:rsidP="002C6524">
      <w:pPr>
        <w:pStyle w:val="BodyText"/>
        <w:jc w:val="both"/>
      </w:pPr>
      <w:r>
        <w:rPr>
          <w:b/>
          <w:bCs/>
        </w:rPr>
        <w:t>Forward scan (0.50 → 1.72 V):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856"/>
        <w:gridCol w:w="1054"/>
        <w:gridCol w:w="1054"/>
        <w:gridCol w:w="1762"/>
      </w:tblGrid>
      <w:tr w:rsidR="002C6524" w:rsidRPr="002C6524" w14:paraId="2CF8974D" w14:textId="77777777" w:rsidTr="0037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336D2859" w14:textId="77777777" w:rsidR="002C6524" w:rsidRPr="002C6524" w:rsidRDefault="002C6524" w:rsidP="0037441E">
            <w:pPr>
              <w:pStyle w:val="Compact"/>
              <w:jc w:val="center"/>
              <w:rPr>
                <w:b/>
                <w:bCs/>
              </w:rPr>
            </w:pPr>
            <w:r w:rsidRPr="002C6524"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</w:tcPr>
          <w:p w14:paraId="7DB1B937" w14:textId="77777777" w:rsidR="002C6524" w:rsidRPr="002C6524" w:rsidRDefault="002C6524" w:rsidP="0037441E">
            <w:pPr>
              <w:pStyle w:val="Compact"/>
              <w:jc w:val="center"/>
              <w:rPr>
                <w:b/>
                <w:bCs/>
              </w:rPr>
            </w:pPr>
            <w:r w:rsidRPr="002C6524">
              <w:rPr>
                <w:b/>
                <w:bCs/>
              </w:rPr>
              <w:t>Ah</w:t>
            </w:r>
          </w:p>
        </w:tc>
        <w:tc>
          <w:tcPr>
            <w:tcW w:w="0" w:type="auto"/>
            <w:vAlign w:val="center"/>
          </w:tcPr>
          <w:p w14:paraId="261B7FD9" w14:textId="77777777" w:rsidR="002C6524" w:rsidRPr="002C6524" w:rsidRDefault="002C6524" w:rsidP="0037441E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2C6524">
              <w:rPr>
                <w:b/>
                <w:bCs/>
              </w:rPr>
              <w:t>Wh</w:t>
            </w:r>
            <w:proofErr w:type="spellEnd"/>
          </w:p>
        </w:tc>
        <w:tc>
          <w:tcPr>
            <w:tcW w:w="0" w:type="auto"/>
            <w:vAlign w:val="center"/>
          </w:tcPr>
          <w:p w14:paraId="08046DE5" w14:textId="77777777" w:rsidR="002C6524" w:rsidRPr="002C6524" w:rsidRDefault="002C6524" w:rsidP="0037441E">
            <w:pPr>
              <w:pStyle w:val="Compact"/>
              <w:jc w:val="center"/>
              <w:rPr>
                <w:b/>
                <w:bCs/>
              </w:rPr>
            </w:pPr>
            <w:r w:rsidRPr="002C6524">
              <w:rPr>
                <w:b/>
                <w:bCs/>
              </w:rPr>
              <w:t>Apparent C (F)</w:t>
            </w:r>
          </w:p>
        </w:tc>
      </w:tr>
      <w:tr w:rsidR="002C6524" w:rsidRPr="002C6524" w14:paraId="1E954945" w14:textId="77777777" w:rsidTr="0037441E">
        <w:trPr>
          <w:jc w:val="center"/>
        </w:trPr>
        <w:tc>
          <w:tcPr>
            <w:tcW w:w="0" w:type="auto"/>
            <w:vAlign w:val="center"/>
          </w:tcPr>
          <w:p w14:paraId="57D125C9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0.50–0.70 V</w:t>
            </w:r>
          </w:p>
        </w:tc>
        <w:tc>
          <w:tcPr>
            <w:tcW w:w="0" w:type="auto"/>
            <w:vAlign w:val="center"/>
          </w:tcPr>
          <w:p w14:paraId="0DA36E6F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0.00718</w:t>
            </w:r>
          </w:p>
        </w:tc>
        <w:tc>
          <w:tcPr>
            <w:tcW w:w="0" w:type="auto"/>
            <w:vAlign w:val="center"/>
          </w:tcPr>
          <w:p w14:paraId="51D046B4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0.00458</w:t>
            </w:r>
          </w:p>
        </w:tc>
        <w:tc>
          <w:tcPr>
            <w:tcW w:w="0" w:type="auto"/>
            <w:vAlign w:val="center"/>
          </w:tcPr>
          <w:p w14:paraId="3E3551F0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129.2</w:t>
            </w:r>
          </w:p>
        </w:tc>
      </w:tr>
      <w:tr w:rsidR="002C6524" w:rsidRPr="002C6524" w14:paraId="22C0B974" w14:textId="77777777" w:rsidTr="0037441E">
        <w:trPr>
          <w:jc w:val="center"/>
        </w:trPr>
        <w:tc>
          <w:tcPr>
            <w:tcW w:w="0" w:type="auto"/>
            <w:vAlign w:val="center"/>
          </w:tcPr>
          <w:p w14:paraId="602890D0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0.70–1.45 V</w:t>
            </w:r>
          </w:p>
        </w:tc>
        <w:tc>
          <w:tcPr>
            <w:tcW w:w="0" w:type="auto"/>
            <w:vAlign w:val="center"/>
          </w:tcPr>
          <w:p w14:paraId="0F4876F9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0.07068</w:t>
            </w:r>
          </w:p>
        </w:tc>
        <w:tc>
          <w:tcPr>
            <w:tcW w:w="0" w:type="auto"/>
            <w:vAlign w:val="center"/>
          </w:tcPr>
          <w:p w14:paraId="6A08E826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0.07855</w:t>
            </w:r>
          </w:p>
        </w:tc>
        <w:tc>
          <w:tcPr>
            <w:tcW w:w="0" w:type="auto"/>
            <w:vAlign w:val="center"/>
          </w:tcPr>
          <w:p w14:paraId="72BEF4C2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339.3</w:t>
            </w:r>
          </w:p>
        </w:tc>
      </w:tr>
      <w:tr w:rsidR="002C6524" w:rsidRPr="002C6524" w14:paraId="5EF887A1" w14:textId="77777777" w:rsidTr="0037441E">
        <w:trPr>
          <w:jc w:val="center"/>
        </w:trPr>
        <w:tc>
          <w:tcPr>
            <w:tcW w:w="0" w:type="auto"/>
            <w:vAlign w:val="center"/>
          </w:tcPr>
          <w:p w14:paraId="56975E19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1.45–1.72 V</w:t>
            </w:r>
          </w:p>
        </w:tc>
        <w:tc>
          <w:tcPr>
            <w:tcW w:w="0" w:type="auto"/>
            <w:vAlign w:val="center"/>
          </w:tcPr>
          <w:p w14:paraId="0801BF73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0.04095</w:t>
            </w:r>
          </w:p>
        </w:tc>
        <w:tc>
          <w:tcPr>
            <w:tcW w:w="0" w:type="auto"/>
            <w:vAlign w:val="center"/>
          </w:tcPr>
          <w:p w14:paraId="461A5480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0.06543</w:t>
            </w:r>
          </w:p>
        </w:tc>
        <w:tc>
          <w:tcPr>
            <w:tcW w:w="0" w:type="auto"/>
            <w:vAlign w:val="center"/>
          </w:tcPr>
          <w:p w14:paraId="7B289567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546.1</w:t>
            </w:r>
          </w:p>
        </w:tc>
      </w:tr>
      <w:tr w:rsidR="002C6524" w:rsidRPr="002C6524" w14:paraId="71FEEABA" w14:textId="77777777" w:rsidTr="0037441E">
        <w:trPr>
          <w:jc w:val="center"/>
        </w:trPr>
        <w:tc>
          <w:tcPr>
            <w:tcW w:w="0" w:type="auto"/>
            <w:vAlign w:val="center"/>
          </w:tcPr>
          <w:p w14:paraId="7F780506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Full 0.50–1.72 V</w:t>
            </w:r>
          </w:p>
        </w:tc>
        <w:tc>
          <w:tcPr>
            <w:tcW w:w="0" w:type="auto"/>
            <w:vAlign w:val="center"/>
          </w:tcPr>
          <w:p w14:paraId="3A65B9B5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0.11881</w:t>
            </w:r>
          </w:p>
        </w:tc>
        <w:tc>
          <w:tcPr>
            <w:tcW w:w="0" w:type="auto"/>
            <w:vAlign w:val="center"/>
          </w:tcPr>
          <w:p w14:paraId="6B921869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0.14856</w:t>
            </w:r>
          </w:p>
        </w:tc>
        <w:tc>
          <w:tcPr>
            <w:tcW w:w="0" w:type="auto"/>
            <w:vAlign w:val="center"/>
          </w:tcPr>
          <w:p w14:paraId="5EBF752B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350.6</w:t>
            </w:r>
          </w:p>
        </w:tc>
      </w:tr>
    </w:tbl>
    <w:p w14:paraId="5B7FE84A" w14:textId="77777777" w:rsidR="002C6524" w:rsidRDefault="002C6524" w:rsidP="002C6524">
      <w:pPr>
        <w:pStyle w:val="BodyText"/>
        <w:jc w:val="both"/>
      </w:pPr>
      <w:r>
        <w:rPr>
          <w:b/>
          <w:bCs/>
        </w:rPr>
        <w:t>Reverse scan (1.72 → 0.50 V):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856"/>
        <w:gridCol w:w="1054"/>
        <w:gridCol w:w="1054"/>
        <w:gridCol w:w="1762"/>
      </w:tblGrid>
      <w:tr w:rsidR="002C6524" w:rsidRPr="002C6524" w14:paraId="5F23CCE8" w14:textId="77777777" w:rsidTr="0037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54FF4F80" w14:textId="77777777" w:rsidR="002C6524" w:rsidRPr="002C6524" w:rsidRDefault="002C6524" w:rsidP="0037441E">
            <w:pPr>
              <w:pStyle w:val="Compact"/>
              <w:jc w:val="center"/>
              <w:rPr>
                <w:b/>
                <w:bCs/>
              </w:rPr>
            </w:pPr>
            <w:r w:rsidRPr="002C6524"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</w:tcPr>
          <w:p w14:paraId="6199BB90" w14:textId="77777777" w:rsidR="002C6524" w:rsidRPr="002C6524" w:rsidRDefault="002C6524" w:rsidP="0037441E">
            <w:pPr>
              <w:pStyle w:val="Compact"/>
              <w:jc w:val="center"/>
              <w:rPr>
                <w:b/>
                <w:bCs/>
              </w:rPr>
            </w:pPr>
            <w:r w:rsidRPr="002C6524">
              <w:rPr>
                <w:b/>
                <w:bCs/>
              </w:rPr>
              <w:t>Ah</w:t>
            </w:r>
          </w:p>
        </w:tc>
        <w:tc>
          <w:tcPr>
            <w:tcW w:w="0" w:type="auto"/>
            <w:vAlign w:val="center"/>
          </w:tcPr>
          <w:p w14:paraId="61BD69E3" w14:textId="77777777" w:rsidR="002C6524" w:rsidRPr="002C6524" w:rsidRDefault="002C6524" w:rsidP="0037441E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2C6524">
              <w:rPr>
                <w:b/>
                <w:bCs/>
              </w:rPr>
              <w:t>Wh</w:t>
            </w:r>
            <w:proofErr w:type="spellEnd"/>
          </w:p>
        </w:tc>
        <w:tc>
          <w:tcPr>
            <w:tcW w:w="0" w:type="auto"/>
            <w:vAlign w:val="center"/>
          </w:tcPr>
          <w:p w14:paraId="3A941CDB" w14:textId="77777777" w:rsidR="002C6524" w:rsidRPr="002C6524" w:rsidRDefault="002C6524" w:rsidP="0037441E">
            <w:pPr>
              <w:pStyle w:val="Compact"/>
              <w:jc w:val="center"/>
              <w:rPr>
                <w:b/>
                <w:bCs/>
              </w:rPr>
            </w:pPr>
            <w:r w:rsidRPr="002C6524">
              <w:rPr>
                <w:b/>
                <w:bCs/>
              </w:rPr>
              <w:t>Apparent C (F)</w:t>
            </w:r>
          </w:p>
        </w:tc>
      </w:tr>
      <w:tr w:rsidR="002C6524" w:rsidRPr="002C6524" w14:paraId="6767196C" w14:textId="77777777" w:rsidTr="0037441E">
        <w:trPr>
          <w:jc w:val="center"/>
        </w:trPr>
        <w:tc>
          <w:tcPr>
            <w:tcW w:w="0" w:type="auto"/>
            <w:vAlign w:val="center"/>
          </w:tcPr>
          <w:p w14:paraId="7B78C7D4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1.72–1.45 V</w:t>
            </w:r>
          </w:p>
        </w:tc>
        <w:tc>
          <w:tcPr>
            <w:tcW w:w="0" w:type="auto"/>
            <w:vAlign w:val="center"/>
          </w:tcPr>
          <w:p w14:paraId="63971144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0.01056</w:t>
            </w:r>
          </w:p>
        </w:tc>
        <w:tc>
          <w:tcPr>
            <w:tcW w:w="0" w:type="auto"/>
            <w:vAlign w:val="center"/>
          </w:tcPr>
          <w:p w14:paraId="357E4448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0.01535</w:t>
            </w:r>
          </w:p>
        </w:tc>
        <w:tc>
          <w:tcPr>
            <w:tcW w:w="0" w:type="auto"/>
            <w:vAlign w:val="center"/>
          </w:tcPr>
          <w:p w14:paraId="480E4B2F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140.9</w:t>
            </w:r>
          </w:p>
        </w:tc>
      </w:tr>
      <w:tr w:rsidR="002C6524" w:rsidRPr="002C6524" w14:paraId="7F9DDF9F" w14:textId="77777777" w:rsidTr="0037441E">
        <w:trPr>
          <w:jc w:val="center"/>
        </w:trPr>
        <w:tc>
          <w:tcPr>
            <w:tcW w:w="0" w:type="auto"/>
            <w:vAlign w:val="center"/>
          </w:tcPr>
          <w:p w14:paraId="79472BC8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1.45–0.70 V</w:t>
            </w:r>
          </w:p>
        </w:tc>
        <w:tc>
          <w:tcPr>
            <w:tcW w:w="0" w:type="auto"/>
            <w:vAlign w:val="center"/>
          </w:tcPr>
          <w:p w14:paraId="3A6798E9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0.08038</w:t>
            </w:r>
          </w:p>
        </w:tc>
        <w:tc>
          <w:tcPr>
            <w:tcW w:w="0" w:type="auto"/>
            <w:vAlign w:val="center"/>
          </w:tcPr>
          <w:p w14:paraId="3361E2DC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0.08636</w:t>
            </w:r>
          </w:p>
        </w:tc>
        <w:tc>
          <w:tcPr>
            <w:tcW w:w="0" w:type="auto"/>
            <w:vAlign w:val="center"/>
          </w:tcPr>
          <w:p w14:paraId="4D48DEF3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385.8</w:t>
            </w:r>
          </w:p>
        </w:tc>
      </w:tr>
      <w:tr w:rsidR="002C6524" w:rsidRPr="002C6524" w14:paraId="278BC449" w14:textId="77777777" w:rsidTr="0037441E">
        <w:trPr>
          <w:jc w:val="center"/>
        </w:trPr>
        <w:tc>
          <w:tcPr>
            <w:tcW w:w="0" w:type="auto"/>
            <w:vAlign w:val="center"/>
          </w:tcPr>
          <w:p w14:paraId="6698E4AD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0.70–0.50 V</w:t>
            </w:r>
          </w:p>
        </w:tc>
        <w:tc>
          <w:tcPr>
            <w:tcW w:w="0" w:type="auto"/>
            <w:vAlign w:val="center"/>
          </w:tcPr>
          <w:p w14:paraId="12899BE3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0.02011</w:t>
            </w:r>
          </w:p>
        </w:tc>
        <w:tc>
          <w:tcPr>
            <w:tcW w:w="0" w:type="auto"/>
            <w:vAlign w:val="center"/>
          </w:tcPr>
          <w:p w14:paraId="442E218A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0.01204</w:t>
            </w:r>
          </w:p>
        </w:tc>
        <w:tc>
          <w:tcPr>
            <w:tcW w:w="0" w:type="auto"/>
            <w:vAlign w:val="center"/>
          </w:tcPr>
          <w:p w14:paraId="38C98F50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362.1</w:t>
            </w:r>
          </w:p>
        </w:tc>
      </w:tr>
      <w:tr w:rsidR="002C6524" w:rsidRPr="002C6524" w14:paraId="4E1AC9BF" w14:textId="77777777" w:rsidTr="0037441E">
        <w:trPr>
          <w:jc w:val="center"/>
        </w:trPr>
        <w:tc>
          <w:tcPr>
            <w:tcW w:w="0" w:type="auto"/>
            <w:vAlign w:val="center"/>
          </w:tcPr>
          <w:p w14:paraId="37F5DE4A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Full 1.72–0.50 V</w:t>
            </w:r>
          </w:p>
        </w:tc>
        <w:tc>
          <w:tcPr>
            <w:tcW w:w="0" w:type="auto"/>
            <w:vAlign w:val="center"/>
          </w:tcPr>
          <w:p w14:paraId="6E5D9871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0.11106</w:t>
            </w:r>
          </w:p>
        </w:tc>
        <w:tc>
          <w:tcPr>
            <w:tcW w:w="0" w:type="auto"/>
            <w:vAlign w:val="center"/>
          </w:tcPr>
          <w:p w14:paraId="17AE25E8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0.11375</w:t>
            </w:r>
          </w:p>
        </w:tc>
        <w:tc>
          <w:tcPr>
            <w:tcW w:w="0" w:type="auto"/>
            <w:vAlign w:val="center"/>
          </w:tcPr>
          <w:p w14:paraId="0EF0FCB1" w14:textId="77777777" w:rsidR="002C6524" w:rsidRPr="00376743" w:rsidRDefault="002C6524" w:rsidP="0037441E">
            <w:pPr>
              <w:pStyle w:val="Compact"/>
              <w:jc w:val="center"/>
            </w:pPr>
            <w:r w:rsidRPr="00376743">
              <w:t>327.7</w:t>
            </w:r>
          </w:p>
        </w:tc>
      </w:tr>
    </w:tbl>
    <w:p w14:paraId="74BA8E1C" w14:textId="77777777" w:rsidR="002C6524" w:rsidRDefault="002C6524" w:rsidP="002C6524">
      <w:pPr>
        <w:pStyle w:val="BodyText"/>
        <w:jc w:val="both"/>
      </w:pPr>
      <w:r>
        <w:t xml:space="preserve">The full-loop CV </w:t>
      </w:r>
      <w:r w:rsidRPr="002C6524">
        <w:rPr>
          <w:b/>
          <w:bCs/>
        </w:rPr>
        <w:t>coulombic efficiency</w:t>
      </w:r>
      <w:r>
        <w:t xml:space="preserve"> is approximately </w:t>
      </w:r>
      <w:r w:rsidRPr="002C6524">
        <w:rPr>
          <w:b/>
          <w:bCs/>
        </w:rPr>
        <w:t>93.3%</w:t>
      </w:r>
      <w:r>
        <w:t xml:space="preserve"> and the full-loop CV </w:t>
      </w:r>
      <w:r w:rsidRPr="002C6524">
        <w:rPr>
          <w:b/>
          <w:bCs/>
        </w:rPr>
        <w:t>energy efficiency</w:t>
      </w:r>
      <w:r>
        <w:t xml:space="preserve"> is approximately </w:t>
      </w:r>
      <w:r w:rsidRPr="002C6524">
        <w:rPr>
          <w:b/>
          <w:bCs/>
        </w:rPr>
        <w:t>76.6%</w:t>
      </w:r>
      <w:r>
        <w:t>. The dynamic CV values are lower than the steady constant-current efficiencies because the CV trajectory continuously includes polarization, turnaround effects, and upper-window charge amplification.</w:t>
      </w:r>
    </w:p>
    <w:p w14:paraId="6C3FB585" w14:textId="4D082B62" w:rsidR="002C6524" w:rsidRDefault="002C6524" w:rsidP="002C6524">
      <w:pPr>
        <w:pStyle w:val="BodyText"/>
        <w:jc w:val="both"/>
      </w:pPr>
      <w:r>
        <w:t xml:space="preserve">This reinforces why non-zinc sorting parameters should be grounded primarily in the </w:t>
      </w:r>
      <w:r w:rsidRPr="002C6524">
        <w:rPr>
          <w:b/>
          <w:bCs/>
        </w:rPr>
        <w:t>discharge branch</w:t>
      </w:r>
      <w:r>
        <w:t xml:space="preserve"> and in a well-defined constant-current standard test.</w:t>
      </w:r>
    </w:p>
    <w:p w14:paraId="23299E3E" w14:textId="0CF935A2" w:rsidR="00F2166E" w:rsidRPr="00A24463" w:rsidRDefault="00F2166E" w:rsidP="00896AEC">
      <w:pPr>
        <w:pStyle w:val="BodyText"/>
        <w:jc w:val="both"/>
        <w:rPr>
          <w:lang w:val="en-GB"/>
        </w:rPr>
      </w:pPr>
    </w:p>
    <w:p w14:paraId="39B5E98B" w14:textId="2ADD7FD5" w:rsidR="007D7B99" w:rsidRDefault="00A24463" w:rsidP="00896AEC">
      <w:pPr>
        <w:pStyle w:val="Heading2"/>
        <w:jc w:val="both"/>
      </w:pPr>
      <w:bookmarkStart w:id="7" w:name="steady-state-cc-cycling-results-at-4.5-a"/>
      <w:bookmarkEnd w:id="6"/>
      <w:r>
        <w:lastRenderedPageBreak/>
        <w:t xml:space="preserve">2) </w:t>
      </w:r>
      <w:r w:rsidR="00944C74">
        <w:t xml:space="preserve">Constant Current (CC) </w:t>
      </w:r>
      <w:r>
        <w:t xml:space="preserve">Cycling </w:t>
      </w:r>
      <w:r w:rsidR="00944C74">
        <w:t>Map</w:t>
      </w:r>
      <w:r>
        <w:t xml:space="preserve"> </w:t>
      </w:r>
    </w:p>
    <w:p w14:paraId="12CD4E3E" w14:textId="77777777" w:rsidR="007D7B99" w:rsidRDefault="00000000" w:rsidP="00896AEC">
      <w:pPr>
        <w:pStyle w:val="FirstParagraph"/>
        <w:jc w:val="both"/>
      </w:pPr>
      <w:r>
        <w:t xml:space="preserve">These values confirm that the nominal </w:t>
      </w:r>
      <w:r w:rsidRPr="00944C74">
        <w:rPr>
          <w:b/>
          <w:bCs/>
        </w:rPr>
        <w:t>non-zinc-mode cycle</w:t>
      </w:r>
      <w:r>
        <w:t xml:space="preserve"> is not </w:t>
      </w:r>
      <w:r w:rsidRPr="00944C74">
        <w:rPr>
          <w:b/>
          <w:bCs/>
        </w:rPr>
        <w:t>energy-symmetric</w:t>
      </w:r>
      <w:r>
        <w:t xml:space="preserve"> at the terminals. Charge throughput exceeds recovered discharge throughput, and the </w:t>
      </w:r>
      <w:r w:rsidRPr="00944C74">
        <w:rPr>
          <w:b/>
          <w:bCs/>
        </w:rPr>
        <w:t>disparity</w:t>
      </w:r>
      <w:r>
        <w:t xml:space="preserve"> is more pronounced in </w:t>
      </w:r>
      <w:r w:rsidRPr="00944C74">
        <w:rPr>
          <w:b/>
          <w:bCs/>
        </w:rPr>
        <w:t>energy</w:t>
      </w:r>
      <w:r>
        <w:t xml:space="preserve"> than in charge, which is consistent with </w:t>
      </w:r>
      <w:r w:rsidRPr="00944C74">
        <w:rPr>
          <w:b/>
          <w:bCs/>
        </w:rPr>
        <w:t>polarization</w:t>
      </w:r>
      <w:r>
        <w:t xml:space="preserve"> and </w:t>
      </w:r>
      <w:r w:rsidRPr="00944C74">
        <w:rPr>
          <w:b/>
          <w:bCs/>
        </w:rPr>
        <w:t>hysteresis</w:t>
      </w:r>
      <w:r>
        <w:t xml:space="preserve"> rather than only irreversible charge loss.</w:t>
      </w:r>
    </w:p>
    <w:tbl>
      <w:tblPr>
        <w:tblStyle w:val="Table"/>
        <w:tblW w:w="5876" w:type="dxa"/>
        <w:jc w:val="center"/>
        <w:tblLook w:val="0020" w:firstRow="1" w:lastRow="0" w:firstColumn="0" w:lastColumn="0" w:noHBand="0" w:noVBand="0"/>
      </w:tblPr>
      <w:tblGrid>
        <w:gridCol w:w="3165"/>
        <w:gridCol w:w="2711"/>
      </w:tblGrid>
      <w:tr w:rsidR="007D7B99" w:rsidRPr="00944C74" w14:paraId="74E7BE7D" w14:textId="77777777" w:rsidTr="00A24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  <w:tblHeader/>
          <w:jc w:val="center"/>
        </w:trPr>
        <w:tc>
          <w:tcPr>
            <w:tcW w:w="0" w:type="auto"/>
            <w:vAlign w:val="center"/>
          </w:tcPr>
          <w:p w14:paraId="693F64B5" w14:textId="77777777" w:rsidR="007D7B99" w:rsidRPr="00944C74" w:rsidRDefault="00000000" w:rsidP="00944C74">
            <w:pPr>
              <w:pStyle w:val="Compact"/>
              <w:jc w:val="center"/>
              <w:rPr>
                <w:b/>
                <w:bCs/>
              </w:rPr>
            </w:pPr>
            <w:r w:rsidRPr="00944C7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400758D5" w14:textId="77777777" w:rsidR="007D7B99" w:rsidRPr="00944C74" w:rsidRDefault="00000000" w:rsidP="00944C74">
            <w:pPr>
              <w:pStyle w:val="Compact"/>
              <w:jc w:val="center"/>
              <w:rPr>
                <w:b/>
                <w:bCs/>
              </w:rPr>
            </w:pPr>
            <w:r w:rsidRPr="00944C74">
              <w:rPr>
                <w:b/>
                <w:bCs/>
              </w:rPr>
              <w:t>Value</w:t>
            </w:r>
          </w:p>
        </w:tc>
      </w:tr>
      <w:tr w:rsidR="007D7B99" w:rsidRPr="00944C74" w14:paraId="77C3E115" w14:textId="77777777" w:rsidTr="00A24463">
        <w:trPr>
          <w:trHeight w:val="412"/>
          <w:jc w:val="center"/>
        </w:trPr>
        <w:tc>
          <w:tcPr>
            <w:tcW w:w="0" w:type="auto"/>
            <w:vAlign w:val="center"/>
          </w:tcPr>
          <w:p w14:paraId="7983BCD0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Charge capacity</w:t>
            </w:r>
          </w:p>
        </w:tc>
        <w:tc>
          <w:tcPr>
            <w:tcW w:w="0" w:type="auto"/>
            <w:vAlign w:val="center"/>
          </w:tcPr>
          <w:p w14:paraId="4DEF7E0F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0.07697 ± 0.00149 Ah</w:t>
            </w:r>
          </w:p>
        </w:tc>
      </w:tr>
      <w:tr w:rsidR="007D7B99" w:rsidRPr="00944C74" w14:paraId="049DACA8" w14:textId="77777777" w:rsidTr="00A24463">
        <w:trPr>
          <w:trHeight w:val="395"/>
          <w:jc w:val="center"/>
        </w:trPr>
        <w:tc>
          <w:tcPr>
            <w:tcW w:w="0" w:type="auto"/>
            <w:vAlign w:val="center"/>
          </w:tcPr>
          <w:p w14:paraId="309EE874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Discharge capacity</w:t>
            </w:r>
          </w:p>
        </w:tc>
        <w:tc>
          <w:tcPr>
            <w:tcW w:w="0" w:type="auto"/>
            <w:vAlign w:val="center"/>
          </w:tcPr>
          <w:p w14:paraId="5B486D80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0.07371 ± 0.00109 Ah</w:t>
            </w:r>
          </w:p>
        </w:tc>
      </w:tr>
      <w:tr w:rsidR="007D7B99" w:rsidRPr="00944C74" w14:paraId="1405A8EC" w14:textId="77777777" w:rsidTr="00A24463">
        <w:trPr>
          <w:trHeight w:val="395"/>
          <w:jc w:val="center"/>
        </w:trPr>
        <w:tc>
          <w:tcPr>
            <w:tcW w:w="0" w:type="auto"/>
            <w:vAlign w:val="center"/>
          </w:tcPr>
          <w:p w14:paraId="2FF564C0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Charge energy</w:t>
            </w:r>
          </w:p>
        </w:tc>
        <w:tc>
          <w:tcPr>
            <w:tcW w:w="0" w:type="auto"/>
            <w:vAlign w:val="center"/>
          </w:tcPr>
          <w:p w14:paraId="7426EAAB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 xml:space="preserve">0.10442 ± 0.00224 </w:t>
            </w:r>
            <w:proofErr w:type="spellStart"/>
            <w:r w:rsidRPr="00376743">
              <w:t>Wh</w:t>
            </w:r>
            <w:proofErr w:type="spellEnd"/>
          </w:p>
        </w:tc>
      </w:tr>
      <w:tr w:rsidR="007D7B99" w:rsidRPr="00944C74" w14:paraId="60053AF4" w14:textId="77777777" w:rsidTr="00A24463">
        <w:trPr>
          <w:trHeight w:val="412"/>
          <w:jc w:val="center"/>
        </w:trPr>
        <w:tc>
          <w:tcPr>
            <w:tcW w:w="0" w:type="auto"/>
            <w:vAlign w:val="center"/>
          </w:tcPr>
          <w:p w14:paraId="382E1085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Discharge energy</w:t>
            </w:r>
          </w:p>
        </w:tc>
        <w:tc>
          <w:tcPr>
            <w:tcW w:w="0" w:type="auto"/>
            <w:vAlign w:val="center"/>
          </w:tcPr>
          <w:p w14:paraId="5A3C8D4A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 xml:space="preserve">0.09084 ± 0.00126 </w:t>
            </w:r>
            <w:proofErr w:type="spellStart"/>
            <w:r w:rsidRPr="00376743">
              <w:t>Wh</w:t>
            </w:r>
            <w:proofErr w:type="spellEnd"/>
          </w:p>
        </w:tc>
      </w:tr>
      <w:tr w:rsidR="007D7B99" w:rsidRPr="00944C74" w14:paraId="44EAA2DA" w14:textId="77777777" w:rsidTr="00A24463">
        <w:trPr>
          <w:trHeight w:val="395"/>
          <w:jc w:val="center"/>
        </w:trPr>
        <w:tc>
          <w:tcPr>
            <w:tcW w:w="0" w:type="auto"/>
            <w:vAlign w:val="center"/>
          </w:tcPr>
          <w:p w14:paraId="43B39222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Coulombic efficiency</w:t>
            </w:r>
          </w:p>
        </w:tc>
        <w:tc>
          <w:tcPr>
            <w:tcW w:w="0" w:type="auto"/>
            <w:vAlign w:val="center"/>
          </w:tcPr>
          <w:p w14:paraId="5AFA06FB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95.78 ± 0.43 %</w:t>
            </w:r>
          </w:p>
        </w:tc>
      </w:tr>
      <w:tr w:rsidR="007D7B99" w:rsidRPr="00944C74" w14:paraId="6BFC0ED6" w14:textId="77777777" w:rsidTr="00A24463">
        <w:trPr>
          <w:trHeight w:val="395"/>
          <w:jc w:val="center"/>
        </w:trPr>
        <w:tc>
          <w:tcPr>
            <w:tcW w:w="0" w:type="auto"/>
            <w:vAlign w:val="center"/>
          </w:tcPr>
          <w:p w14:paraId="78764C99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Energy efficiency</w:t>
            </w:r>
          </w:p>
        </w:tc>
        <w:tc>
          <w:tcPr>
            <w:tcW w:w="0" w:type="auto"/>
            <w:vAlign w:val="center"/>
          </w:tcPr>
          <w:p w14:paraId="6D658DC1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87.01 ± 0.65 %</w:t>
            </w:r>
          </w:p>
        </w:tc>
      </w:tr>
      <w:tr w:rsidR="007D7B99" w:rsidRPr="00944C74" w14:paraId="0DDF8B1E" w14:textId="77777777" w:rsidTr="00A24463">
        <w:trPr>
          <w:trHeight w:val="412"/>
          <w:jc w:val="center"/>
        </w:trPr>
        <w:tc>
          <w:tcPr>
            <w:tcW w:w="0" w:type="auto"/>
            <w:vAlign w:val="center"/>
          </w:tcPr>
          <w:p w14:paraId="3FD20CF8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Voltage efficiency</w:t>
            </w:r>
          </w:p>
        </w:tc>
        <w:tc>
          <w:tcPr>
            <w:tcW w:w="0" w:type="auto"/>
            <w:vAlign w:val="center"/>
          </w:tcPr>
          <w:p w14:paraId="78486F37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>90.84 ± 0.28 %</w:t>
            </w:r>
          </w:p>
        </w:tc>
      </w:tr>
      <w:tr w:rsidR="007D7B99" w:rsidRPr="00944C74" w14:paraId="741C3CDF" w14:textId="77777777" w:rsidTr="00A24463">
        <w:trPr>
          <w:trHeight w:val="395"/>
          <w:jc w:val="center"/>
        </w:trPr>
        <w:tc>
          <w:tcPr>
            <w:tcW w:w="0" w:type="auto"/>
            <w:vAlign w:val="center"/>
          </w:tcPr>
          <w:p w14:paraId="53E8B45F" w14:textId="338F561A" w:rsidR="007D7B99" w:rsidRPr="00376743" w:rsidRDefault="00944C74" w:rsidP="00944C74">
            <w:pPr>
              <w:pStyle w:val="Compact"/>
              <w:jc w:val="center"/>
            </w:pPr>
            <w:r w:rsidRPr="00376743">
              <w:t>Charge ESR</w:t>
            </w:r>
          </w:p>
        </w:tc>
        <w:tc>
          <w:tcPr>
            <w:tcW w:w="0" w:type="auto"/>
            <w:vAlign w:val="center"/>
          </w:tcPr>
          <w:p w14:paraId="215C7C60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 xml:space="preserve">5.31 ± 0.11 </w:t>
            </w:r>
            <w:proofErr w:type="spellStart"/>
            <w:r w:rsidRPr="00376743">
              <w:t>mΩ</w:t>
            </w:r>
            <w:proofErr w:type="spellEnd"/>
          </w:p>
        </w:tc>
      </w:tr>
      <w:tr w:rsidR="007D7B99" w:rsidRPr="00944C74" w14:paraId="2D451F37" w14:textId="77777777" w:rsidTr="00A24463">
        <w:trPr>
          <w:trHeight w:val="395"/>
          <w:jc w:val="center"/>
        </w:trPr>
        <w:tc>
          <w:tcPr>
            <w:tcW w:w="0" w:type="auto"/>
            <w:vAlign w:val="center"/>
          </w:tcPr>
          <w:p w14:paraId="7A583A95" w14:textId="2DCCEF72" w:rsidR="007D7B99" w:rsidRPr="00376743" w:rsidRDefault="00944C74" w:rsidP="00944C74">
            <w:pPr>
              <w:pStyle w:val="Compact"/>
              <w:jc w:val="center"/>
            </w:pPr>
            <w:r w:rsidRPr="00376743">
              <w:t>Discharge ESR</w:t>
            </w:r>
          </w:p>
        </w:tc>
        <w:tc>
          <w:tcPr>
            <w:tcW w:w="0" w:type="auto"/>
            <w:vAlign w:val="center"/>
          </w:tcPr>
          <w:p w14:paraId="25CC64D6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 xml:space="preserve">5.24 ± 0.10 </w:t>
            </w:r>
            <w:proofErr w:type="spellStart"/>
            <w:r w:rsidRPr="00376743">
              <w:t>mΩ</w:t>
            </w:r>
            <w:proofErr w:type="spellEnd"/>
          </w:p>
        </w:tc>
      </w:tr>
      <w:tr w:rsidR="007D7B99" w:rsidRPr="00944C74" w14:paraId="253B89EB" w14:textId="77777777" w:rsidTr="00A24463">
        <w:trPr>
          <w:trHeight w:val="412"/>
          <w:jc w:val="center"/>
        </w:trPr>
        <w:tc>
          <w:tcPr>
            <w:tcW w:w="0" w:type="auto"/>
            <w:vAlign w:val="center"/>
          </w:tcPr>
          <w:p w14:paraId="4FCB40AB" w14:textId="2A0AC03B" w:rsidR="007D7B99" w:rsidRPr="00376743" w:rsidRDefault="00000000" w:rsidP="00944C74">
            <w:pPr>
              <w:pStyle w:val="Compact"/>
              <w:jc w:val="center"/>
            </w:pPr>
            <w:r w:rsidRPr="00376743">
              <w:t>Recommended single ESR</w:t>
            </w:r>
          </w:p>
        </w:tc>
        <w:tc>
          <w:tcPr>
            <w:tcW w:w="0" w:type="auto"/>
            <w:vAlign w:val="center"/>
          </w:tcPr>
          <w:p w14:paraId="437CC919" w14:textId="77777777" w:rsidR="007D7B99" w:rsidRPr="00376743" w:rsidRDefault="00000000" w:rsidP="00944C74">
            <w:pPr>
              <w:pStyle w:val="Compact"/>
              <w:jc w:val="center"/>
            </w:pPr>
            <w:r w:rsidRPr="00376743">
              <w:t xml:space="preserve">5.28 </w:t>
            </w:r>
            <w:proofErr w:type="spellStart"/>
            <w:r w:rsidRPr="00376743">
              <w:t>mΩ</w:t>
            </w:r>
            <w:proofErr w:type="spellEnd"/>
          </w:p>
        </w:tc>
      </w:tr>
    </w:tbl>
    <w:p w14:paraId="00DE565E" w14:textId="77777777" w:rsidR="007D7B99" w:rsidRDefault="00000000" w:rsidP="00896AEC">
      <w:pPr>
        <w:pStyle w:val="FirstParagraph"/>
        <w:jc w:val="both"/>
      </w:pPr>
      <w:bookmarkStart w:id="8" w:name="X2771ed3b638b279c6c0c991b9fff479a25fc488"/>
      <w:bookmarkEnd w:id="7"/>
      <w:r>
        <w:t xml:space="preserve">The following tables decompose the steady-state </w:t>
      </w:r>
      <w:r w:rsidRPr="00207A27">
        <w:rPr>
          <w:b/>
          <w:bCs/>
        </w:rPr>
        <w:t>±4.5 A non-zinc cycles</w:t>
      </w:r>
      <w:r>
        <w:t xml:space="preserve"> into </w:t>
      </w:r>
      <w:r w:rsidRPr="00207A27">
        <w:rPr>
          <w:b/>
          <w:bCs/>
        </w:rPr>
        <w:t>low</w:t>
      </w:r>
      <w:r>
        <w:t xml:space="preserve">, </w:t>
      </w:r>
      <w:r w:rsidRPr="00207A27">
        <w:rPr>
          <w:b/>
          <w:bCs/>
        </w:rPr>
        <w:t>mid</w:t>
      </w:r>
      <w:r>
        <w:t xml:space="preserve">, and </w:t>
      </w:r>
      <w:r w:rsidRPr="00207A27">
        <w:rPr>
          <w:b/>
          <w:bCs/>
        </w:rPr>
        <w:t>upper</w:t>
      </w:r>
      <w:r>
        <w:t xml:space="preserve"> windows inside the </w:t>
      </w:r>
      <w:r w:rsidRPr="00207A27">
        <w:rPr>
          <w:b/>
          <w:bCs/>
        </w:rPr>
        <w:t>nominal 0.85–1.70 V</w:t>
      </w:r>
      <w:r>
        <w:t xml:space="preserve"> operating range. The spans are the effective terminal-accessed spans after accounting for current-reversal jumps.</w:t>
      </w:r>
    </w:p>
    <w:p w14:paraId="6CA40B38" w14:textId="77777777" w:rsidR="007D7B99" w:rsidRDefault="00000000" w:rsidP="00896AEC">
      <w:pPr>
        <w:pStyle w:val="BodyText"/>
        <w:jc w:val="both"/>
      </w:pPr>
      <w:r>
        <w:rPr>
          <w:b/>
          <w:bCs/>
        </w:rPr>
        <w:t>Charge branch at 4.5 A: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06"/>
        <w:gridCol w:w="2352"/>
        <w:gridCol w:w="1054"/>
        <w:gridCol w:w="1054"/>
        <w:gridCol w:w="798"/>
      </w:tblGrid>
      <w:tr w:rsidR="007D7B99" w:rsidRPr="00207A27" w14:paraId="181BAD51" w14:textId="77777777" w:rsidTr="00207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6C4F5097" w14:textId="77777777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r w:rsidRPr="00207A27"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</w:tcPr>
          <w:p w14:paraId="39D38FCA" w14:textId="77777777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r w:rsidRPr="00207A27">
              <w:rPr>
                <w:b/>
                <w:bCs/>
              </w:rPr>
              <w:t>Effective span used</w:t>
            </w:r>
          </w:p>
        </w:tc>
        <w:tc>
          <w:tcPr>
            <w:tcW w:w="0" w:type="auto"/>
            <w:vAlign w:val="center"/>
          </w:tcPr>
          <w:p w14:paraId="0440179F" w14:textId="77777777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r w:rsidRPr="00207A27">
              <w:rPr>
                <w:b/>
                <w:bCs/>
              </w:rPr>
              <w:t>Ah</w:t>
            </w:r>
          </w:p>
        </w:tc>
        <w:tc>
          <w:tcPr>
            <w:tcW w:w="0" w:type="auto"/>
            <w:vAlign w:val="center"/>
          </w:tcPr>
          <w:p w14:paraId="29D6DD12" w14:textId="77777777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207A27">
              <w:rPr>
                <w:b/>
                <w:bCs/>
              </w:rPr>
              <w:t>Wh</w:t>
            </w:r>
            <w:proofErr w:type="spellEnd"/>
          </w:p>
        </w:tc>
        <w:tc>
          <w:tcPr>
            <w:tcW w:w="0" w:type="auto"/>
            <w:vAlign w:val="center"/>
          </w:tcPr>
          <w:p w14:paraId="32EBB8C2" w14:textId="634A505B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r w:rsidRPr="00207A27">
              <w:rPr>
                <w:b/>
                <w:bCs/>
              </w:rPr>
              <w:t>C (F)</w:t>
            </w:r>
          </w:p>
        </w:tc>
      </w:tr>
      <w:tr w:rsidR="007D7B99" w:rsidRPr="00207A27" w14:paraId="0CD63525" w14:textId="77777777" w:rsidTr="00207A27">
        <w:trPr>
          <w:jc w:val="center"/>
        </w:trPr>
        <w:tc>
          <w:tcPr>
            <w:tcW w:w="0" w:type="auto"/>
            <w:vAlign w:val="center"/>
          </w:tcPr>
          <w:p w14:paraId="78D4B0CC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Low</w:t>
            </w:r>
          </w:p>
        </w:tc>
        <w:tc>
          <w:tcPr>
            <w:tcW w:w="0" w:type="auto"/>
            <w:vAlign w:val="center"/>
          </w:tcPr>
          <w:p w14:paraId="128F810A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0.897–1.150</w:t>
            </w:r>
          </w:p>
        </w:tc>
        <w:tc>
          <w:tcPr>
            <w:tcW w:w="0" w:type="auto"/>
            <w:vAlign w:val="center"/>
          </w:tcPr>
          <w:p w14:paraId="26562B16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0.01793</w:t>
            </w:r>
          </w:p>
        </w:tc>
        <w:tc>
          <w:tcPr>
            <w:tcW w:w="0" w:type="auto"/>
            <w:vAlign w:val="center"/>
          </w:tcPr>
          <w:p w14:paraId="52BFA549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0.01862</w:t>
            </w:r>
          </w:p>
        </w:tc>
        <w:tc>
          <w:tcPr>
            <w:tcW w:w="0" w:type="auto"/>
            <w:vAlign w:val="center"/>
          </w:tcPr>
          <w:p w14:paraId="1D34C780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255.3</w:t>
            </w:r>
          </w:p>
        </w:tc>
      </w:tr>
      <w:tr w:rsidR="007D7B99" w:rsidRPr="00207A27" w14:paraId="5D46C762" w14:textId="77777777" w:rsidTr="00207A27">
        <w:trPr>
          <w:jc w:val="center"/>
        </w:trPr>
        <w:tc>
          <w:tcPr>
            <w:tcW w:w="0" w:type="auto"/>
            <w:vAlign w:val="center"/>
          </w:tcPr>
          <w:p w14:paraId="10C19666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Mid</w:t>
            </w:r>
          </w:p>
        </w:tc>
        <w:tc>
          <w:tcPr>
            <w:tcW w:w="0" w:type="auto"/>
            <w:vAlign w:val="center"/>
          </w:tcPr>
          <w:p w14:paraId="6DB3853E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1.150–1.450</w:t>
            </w:r>
          </w:p>
        </w:tc>
        <w:tc>
          <w:tcPr>
            <w:tcW w:w="0" w:type="auto"/>
            <w:vAlign w:val="center"/>
          </w:tcPr>
          <w:p w14:paraId="1B0B9296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0.02766</w:t>
            </w:r>
          </w:p>
        </w:tc>
        <w:tc>
          <w:tcPr>
            <w:tcW w:w="0" w:type="auto"/>
            <w:vAlign w:val="center"/>
          </w:tcPr>
          <w:p w14:paraId="26035019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0.03606</w:t>
            </w:r>
          </w:p>
        </w:tc>
        <w:tc>
          <w:tcPr>
            <w:tcW w:w="0" w:type="auto"/>
            <w:vAlign w:val="center"/>
          </w:tcPr>
          <w:p w14:paraId="68248D1F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332.0</w:t>
            </w:r>
          </w:p>
        </w:tc>
      </w:tr>
      <w:tr w:rsidR="007D7B99" w:rsidRPr="00207A27" w14:paraId="32A7927F" w14:textId="77777777" w:rsidTr="00207A27">
        <w:trPr>
          <w:jc w:val="center"/>
        </w:trPr>
        <w:tc>
          <w:tcPr>
            <w:tcW w:w="0" w:type="auto"/>
            <w:vAlign w:val="center"/>
          </w:tcPr>
          <w:p w14:paraId="7F5BF4BB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Upper</w:t>
            </w:r>
          </w:p>
        </w:tc>
        <w:tc>
          <w:tcPr>
            <w:tcW w:w="0" w:type="auto"/>
            <w:vAlign w:val="center"/>
          </w:tcPr>
          <w:p w14:paraId="05C8ACFD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1.450–1.700</w:t>
            </w:r>
          </w:p>
        </w:tc>
        <w:tc>
          <w:tcPr>
            <w:tcW w:w="0" w:type="auto"/>
            <w:vAlign w:val="center"/>
          </w:tcPr>
          <w:p w14:paraId="7EA10D8B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0.03133</w:t>
            </w:r>
          </w:p>
        </w:tc>
        <w:tc>
          <w:tcPr>
            <w:tcW w:w="0" w:type="auto"/>
            <w:vAlign w:val="center"/>
          </w:tcPr>
          <w:p w14:paraId="03919113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0.04971</w:t>
            </w:r>
          </w:p>
        </w:tc>
        <w:tc>
          <w:tcPr>
            <w:tcW w:w="0" w:type="auto"/>
            <w:vAlign w:val="center"/>
          </w:tcPr>
          <w:p w14:paraId="027737E2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451.1</w:t>
            </w:r>
          </w:p>
        </w:tc>
      </w:tr>
      <w:tr w:rsidR="007D7B99" w:rsidRPr="00207A27" w14:paraId="2795952F" w14:textId="77777777" w:rsidTr="00207A27">
        <w:trPr>
          <w:jc w:val="center"/>
        </w:trPr>
        <w:tc>
          <w:tcPr>
            <w:tcW w:w="0" w:type="auto"/>
            <w:vAlign w:val="center"/>
          </w:tcPr>
          <w:p w14:paraId="61ABF139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Full</w:t>
            </w:r>
          </w:p>
        </w:tc>
        <w:tc>
          <w:tcPr>
            <w:tcW w:w="0" w:type="auto"/>
            <w:vAlign w:val="center"/>
          </w:tcPr>
          <w:p w14:paraId="1C51F572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0.897–1.700</w:t>
            </w:r>
          </w:p>
        </w:tc>
        <w:tc>
          <w:tcPr>
            <w:tcW w:w="0" w:type="auto"/>
            <w:vAlign w:val="center"/>
          </w:tcPr>
          <w:p w14:paraId="0F41D2CF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0.07693</w:t>
            </w:r>
          </w:p>
        </w:tc>
        <w:tc>
          <w:tcPr>
            <w:tcW w:w="0" w:type="auto"/>
            <w:vAlign w:val="center"/>
          </w:tcPr>
          <w:p w14:paraId="6B41121C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0.10439</w:t>
            </w:r>
          </w:p>
        </w:tc>
        <w:tc>
          <w:tcPr>
            <w:tcW w:w="0" w:type="auto"/>
            <w:vAlign w:val="center"/>
          </w:tcPr>
          <w:p w14:paraId="3A609DE1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344.9</w:t>
            </w:r>
          </w:p>
        </w:tc>
      </w:tr>
    </w:tbl>
    <w:p w14:paraId="3088FAC0" w14:textId="77777777" w:rsidR="007D7B99" w:rsidRDefault="00000000" w:rsidP="00896AEC">
      <w:pPr>
        <w:pStyle w:val="BodyText"/>
        <w:jc w:val="both"/>
      </w:pPr>
      <w:r>
        <w:rPr>
          <w:b/>
          <w:bCs/>
        </w:rPr>
        <w:t>Discharge branch at 4.5 A: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06"/>
        <w:gridCol w:w="2352"/>
        <w:gridCol w:w="1054"/>
        <w:gridCol w:w="1054"/>
        <w:gridCol w:w="798"/>
      </w:tblGrid>
      <w:tr w:rsidR="007D7B99" w:rsidRPr="00207A27" w14:paraId="2580E516" w14:textId="77777777" w:rsidTr="00207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120866F4" w14:textId="77777777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r w:rsidRPr="00207A27"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</w:tcPr>
          <w:p w14:paraId="676251E4" w14:textId="77777777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r w:rsidRPr="00207A27">
              <w:rPr>
                <w:b/>
                <w:bCs/>
              </w:rPr>
              <w:t>Effective span used</w:t>
            </w:r>
          </w:p>
        </w:tc>
        <w:tc>
          <w:tcPr>
            <w:tcW w:w="0" w:type="auto"/>
            <w:vAlign w:val="center"/>
          </w:tcPr>
          <w:p w14:paraId="41EC7AF5" w14:textId="77777777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r w:rsidRPr="00207A27">
              <w:rPr>
                <w:b/>
                <w:bCs/>
              </w:rPr>
              <w:t>Ah</w:t>
            </w:r>
          </w:p>
        </w:tc>
        <w:tc>
          <w:tcPr>
            <w:tcW w:w="0" w:type="auto"/>
            <w:vAlign w:val="center"/>
          </w:tcPr>
          <w:p w14:paraId="2835EEC2" w14:textId="77777777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207A27">
              <w:rPr>
                <w:b/>
                <w:bCs/>
              </w:rPr>
              <w:t>Wh</w:t>
            </w:r>
            <w:proofErr w:type="spellEnd"/>
          </w:p>
        </w:tc>
        <w:tc>
          <w:tcPr>
            <w:tcW w:w="0" w:type="auto"/>
            <w:vAlign w:val="center"/>
          </w:tcPr>
          <w:p w14:paraId="38155594" w14:textId="34F998E3" w:rsidR="007D7B99" w:rsidRPr="00207A27" w:rsidRDefault="00000000" w:rsidP="00207A27">
            <w:pPr>
              <w:pStyle w:val="Compact"/>
              <w:jc w:val="center"/>
              <w:rPr>
                <w:b/>
                <w:bCs/>
              </w:rPr>
            </w:pPr>
            <w:r w:rsidRPr="00207A27">
              <w:rPr>
                <w:b/>
                <w:bCs/>
              </w:rPr>
              <w:t>C (F)</w:t>
            </w:r>
          </w:p>
        </w:tc>
      </w:tr>
      <w:tr w:rsidR="007D7B99" w:rsidRPr="00207A27" w14:paraId="561F681F" w14:textId="77777777" w:rsidTr="00207A27">
        <w:trPr>
          <w:jc w:val="center"/>
        </w:trPr>
        <w:tc>
          <w:tcPr>
            <w:tcW w:w="0" w:type="auto"/>
            <w:vAlign w:val="center"/>
          </w:tcPr>
          <w:p w14:paraId="5CE13A0F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Upper</w:t>
            </w:r>
          </w:p>
        </w:tc>
        <w:tc>
          <w:tcPr>
            <w:tcW w:w="0" w:type="auto"/>
            <w:vAlign w:val="center"/>
          </w:tcPr>
          <w:p w14:paraId="477D2CB6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1.652–1.450</w:t>
            </w:r>
          </w:p>
        </w:tc>
        <w:tc>
          <w:tcPr>
            <w:tcW w:w="0" w:type="auto"/>
            <w:vAlign w:val="center"/>
          </w:tcPr>
          <w:p w14:paraId="28292519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0.01569</w:t>
            </w:r>
          </w:p>
        </w:tc>
        <w:tc>
          <w:tcPr>
            <w:tcW w:w="0" w:type="auto"/>
            <w:vAlign w:val="center"/>
          </w:tcPr>
          <w:p w14:paraId="4D8107E6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0.02421</w:t>
            </w:r>
          </w:p>
        </w:tc>
        <w:tc>
          <w:tcPr>
            <w:tcW w:w="0" w:type="auto"/>
            <w:vAlign w:val="center"/>
          </w:tcPr>
          <w:p w14:paraId="6A18D7E5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279.4</w:t>
            </w:r>
          </w:p>
        </w:tc>
      </w:tr>
      <w:tr w:rsidR="007D7B99" w:rsidRPr="00207A27" w14:paraId="70174F31" w14:textId="77777777" w:rsidTr="00207A27">
        <w:trPr>
          <w:jc w:val="center"/>
        </w:trPr>
        <w:tc>
          <w:tcPr>
            <w:tcW w:w="0" w:type="auto"/>
            <w:vAlign w:val="center"/>
          </w:tcPr>
          <w:p w14:paraId="0DEA57BD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Mid</w:t>
            </w:r>
          </w:p>
        </w:tc>
        <w:tc>
          <w:tcPr>
            <w:tcW w:w="0" w:type="auto"/>
            <w:vAlign w:val="center"/>
          </w:tcPr>
          <w:p w14:paraId="7234A567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1.450–1.150</w:t>
            </w:r>
          </w:p>
        </w:tc>
        <w:tc>
          <w:tcPr>
            <w:tcW w:w="0" w:type="auto"/>
            <w:vAlign w:val="center"/>
          </w:tcPr>
          <w:p w14:paraId="68BA6603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0.02895</w:t>
            </w:r>
          </w:p>
        </w:tc>
        <w:tc>
          <w:tcPr>
            <w:tcW w:w="0" w:type="auto"/>
            <w:vAlign w:val="center"/>
          </w:tcPr>
          <w:p w14:paraId="51E87C32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0.03761</w:t>
            </w:r>
          </w:p>
        </w:tc>
        <w:tc>
          <w:tcPr>
            <w:tcW w:w="0" w:type="auto"/>
            <w:vAlign w:val="center"/>
          </w:tcPr>
          <w:p w14:paraId="5EF174B6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347.4</w:t>
            </w:r>
          </w:p>
        </w:tc>
      </w:tr>
      <w:tr w:rsidR="007D7B99" w:rsidRPr="00207A27" w14:paraId="2DC15257" w14:textId="77777777" w:rsidTr="00207A27">
        <w:trPr>
          <w:jc w:val="center"/>
        </w:trPr>
        <w:tc>
          <w:tcPr>
            <w:tcW w:w="0" w:type="auto"/>
            <w:vAlign w:val="center"/>
          </w:tcPr>
          <w:p w14:paraId="49460C47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Low</w:t>
            </w:r>
          </w:p>
        </w:tc>
        <w:tc>
          <w:tcPr>
            <w:tcW w:w="0" w:type="auto"/>
            <w:vAlign w:val="center"/>
          </w:tcPr>
          <w:p w14:paraId="1F51D4D7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1.150–0.850</w:t>
            </w:r>
          </w:p>
        </w:tc>
        <w:tc>
          <w:tcPr>
            <w:tcW w:w="0" w:type="auto"/>
            <w:vAlign w:val="center"/>
          </w:tcPr>
          <w:p w14:paraId="215EF5CD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0.02896</w:t>
            </w:r>
          </w:p>
        </w:tc>
        <w:tc>
          <w:tcPr>
            <w:tcW w:w="0" w:type="auto"/>
            <w:vAlign w:val="center"/>
          </w:tcPr>
          <w:p w14:paraId="53088E11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0.02891</w:t>
            </w:r>
          </w:p>
        </w:tc>
        <w:tc>
          <w:tcPr>
            <w:tcW w:w="0" w:type="auto"/>
            <w:vAlign w:val="center"/>
          </w:tcPr>
          <w:p w14:paraId="0A3EFECA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347.6</w:t>
            </w:r>
          </w:p>
        </w:tc>
      </w:tr>
      <w:tr w:rsidR="007D7B99" w:rsidRPr="00207A27" w14:paraId="23706418" w14:textId="77777777" w:rsidTr="00207A27">
        <w:trPr>
          <w:jc w:val="center"/>
        </w:trPr>
        <w:tc>
          <w:tcPr>
            <w:tcW w:w="0" w:type="auto"/>
            <w:vAlign w:val="center"/>
          </w:tcPr>
          <w:p w14:paraId="6C80ADF7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Full</w:t>
            </w:r>
          </w:p>
        </w:tc>
        <w:tc>
          <w:tcPr>
            <w:tcW w:w="0" w:type="auto"/>
            <w:vAlign w:val="center"/>
          </w:tcPr>
          <w:p w14:paraId="1F9EDF2F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1.652–0.850</w:t>
            </w:r>
          </w:p>
        </w:tc>
        <w:tc>
          <w:tcPr>
            <w:tcW w:w="0" w:type="auto"/>
            <w:vAlign w:val="center"/>
          </w:tcPr>
          <w:p w14:paraId="2CE4CAB1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0.07360</w:t>
            </w:r>
          </w:p>
        </w:tc>
        <w:tc>
          <w:tcPr>
            <w:tcW w:w="0" w:type="auto"/>
            <w:vAlign w:val="center"/>
          </w:tcPr>
          <w:p w14:paraId="6040C01D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0.09073</w:t>
            </w:r>
          </w:p>
        </w:tc>
        <w:tc>
          <w:tcPr>
            <w:tcW w:w="0" w:type="auto"/>
            <w:vAlign w:val="center"/>
          </w:tcPr>
          <w:p w14:paraId="2F17143E" w14:textId="77777777" w:rsidR="007D7B99" w:rsidRPr="00376743" w:rsidRDefault="00000000" w:rsidP="00207A27">
            <w:pPr>
              <w:pStyle w:val="Compact"/>
              <w:jc w:val="center"/>
            </w:pPr>
            <w:r w:rsidRPr="00376743">
              <w:t>330.3</w:t>
            </w:r>
          </w:p>
        </w:tc>
      </w:tr>
    </w:tbl>
    <w:p w14:paraId="29BCB0D5" w14:textId="3C4C9F26" w:rsidR="007D7B99" w:rsidRDefault="00000000" w:rsidP="00896AEC">
      <w:pPr>
        <w:pStyle w:val="BodyText"/>
        <w:jc w:val="both"/>
      </w:pPr>
      <w:r w:rsidRPr="004334C7">
        <w:rPr>
          <w:color w:val="FF0000"/>
        </w:rPr>
        <w:lastRenderedPageBreak/>
        <w:t xml:space="preserve">The key interpretation is that the </w:t>
      </w:r>
      <w:r w:rsidRPr="004334C7">
        <w:rPr>
          <w:b/>
          <w:bCs/>
          <w:color w:val="FF0000"/>
        </w:rPr>
        <w:t>upper window</w:t>
      </w:r>
      <w:r w:rsidRPr="004334C7">
        <w:rPr>
          <w:color w:val="FF0000"/>
        </w:rPr>
        <w:t xml:space="preserve"> stores the largest fraction of charged energy, but it does not return energy proportionally on </w:t>
      </w:r>
      <w:r w:rsidRPr="004334C7">
        <w:rPr>
          <w:b/>
          <w:bCs/>
          <w:color w:val="FF0000"/>
        </w:rPr>
        <w:t>discharge</w:t>
      </w:r>
      <w:r w:rsidRPr="004334C7">
        <w:rPr>
          <w:color w:val="FF0000"/>
        </w:rPr>
        <w:t xml:space="preserve">. In the </w:t>
      </w:r>
      <w:r w:rsidR="004223C8" w:rsidRPr="004334C7">
        <w:rPr>
          <w:color w:val="FF0000"/>
        </w:rPr>
        <w:t>CC</w:t>
      </w:r>
      <w:r w:rsidRPr="004334C7">
        <w:rPr>
          <w:color w:val="FF0000"/>
        </w:rPr>
        <w:t xml:space="preserve"> cycles, the upper charge window contributes roughly </w:t>
      </w:r>
      <w:r w:rsidRPr="004334C7">
        <w:rPr>
          <w:b/>
          <w:bCs/>
          <w:color w:val="FF0000"/>
        </w:rPr>
        <w:t>47.6%</w:t>
      </w:r>
      <w:r w:rsidRPr="004334C7">
        <w:rPr>
          <w:color w:val="FF0000"/>
        </w:rPr>
        <w:t xml:space="preserve"> of total </w:t>
      </w:r>
      <w:r w:rsidRPr="004334C7">
        <w:rPr>
          <w:b/>
          <w:bCs/>
          <w:color w:val="FF0000"/>
        </w:rPr>
        <w:t>charged energy</w:t>
      </w:r>
      <w:r w:rsidRPr="004334C7">
        <w:rPr>
          <w:color w:val="FF0000"/>
        </w:rPr>
        <w:t xml:space="preserve">, while the upper discharge window returns only about </w:t>
      </w:r>
      <w:r w:rsidRPr="004334C7">
        <w:rPr>
          <w:b/>
          <w:bCs/>
          <w:color w:val="FF0000"/>
        </w:rPr>
        <w:t>26.7%</w:t>
      </w:r>
      <w:r w:rsidRPr="004334C7">
        <w:rPr>
          <w:color w:val="FF0000"/>
        </w:rPr>
        <w:t xml:space="preserve"> of total </w:t>
      </w:r>
      <w:r w:rsidRPr="004334C7">
        <w:rPr>
          <w:b/>
          <w:bCs/>
          <w:color w:val="FF0000"/>
        </w:rPr>
        <w:t>discharged energy</w:t>
      </w:r>
      <w:r w:rsidRPr="004334C7">
        <w:rPr>
          <w:color w:val="FF0000"/>
        </w:rPr>
        <w:t>. The mid and lower windows are more important contributors to recovered non-zinc energy</w:t>
      </w:r>
      <w:r w:rsidR="00012E7C">
        <w:rPr>
          <w:color w:val="FF0000"/>
        </w:rPr>
        <w:t xml:space="preserve"> for the discharge cycle</w:t>
      </w:r>
      <w:r>
        <w:t>.</w:t>
      </w:r>
    </w:p>
    <w:p w14:paraId="7D9111DB" w14:textId="7AB04371" w:rsidR="007D7B99" w:rsidRDefault="00000000" w:rsidP="00896AEC">
      <w:pPr>
        <w:pStyle w:val="FirstParagraph"/>
        <w:jc w:val="both"/>
      </w:pPr>
      <w:bookmarkStart w:id="9" w:name="Xd594e9ab8679bb0a354ff99d7e9a832d7d95a98"/>
      <w:bookmarkEnd w:id="8"/>
      <w:r>
        <w:t xml:space="preserve">The contrast between </w:t>
      </w:r>
      <w:r w:rsidRPr="000A7859">
        <w:rPr>
          <w:b/>
          <w:bCs/>
        </w:rPr>
        <w:t>full-cycle</w:t>
      </w:r>
      <w:r>
        <w:t xml:space="preserve"> and </w:t>
      </w:r>
      <w:r w:rsidRPr="000A7859">
        <w:rPr>
          <w:b/>
          <w:bCs/>
        </w:rPr>
        <w:t>common-window</w:t>
      </w:r>
      <w:r>
        <w:t xml:space="preserve"> performance is central to interpreting this technology. The common-window energy efficiency is approximately </w:t>
      </w:r>
      <w:r w:rsidRPr="000A7859">
        <w:rPr>
          <w:b/>
          <w:bCs/>
        </w:rPr>
        <w:t>94.90%</w:t>
      </w:r>
      <w:r>
        <w:t xml:space="preserve">, which is much higher than the approximately </w:t>
      </w:r>
      <w:r w:rsidRPr="000A7859">
        <w:rPr>
          <w:b/>
          <w:bCs/>
        </w:rPr>
        <w:t>86.96%</w:t>
      </w:r>
      <w:r>
        <w:t xml:space="preserve"> full-cycle terminal energy efficiency. This shows that </w:t>
      </w:r>
      <w:r w:rsidR="00A70C77">
        <w:t>chemistry</w:t>
      </w:r>
      <w:r>
        <w:t xml:space="preserve"> is not uniformly inefficient. Instead, the main losses are concentrated in </w:t>
      </w:r>
      <w:r w:rsidRPr="000A7859">
        <w:rPr>
          <w:b/>
          <w:bCs/>
        </w:rPr>
        <w:t>terminal hysteresis</w:t>
      </w:r>
      <w:r>
        <w:t xml:space="preserve">, the </w:t>
      </w:r>
      <w:r w:rsidRPr="000A7859">
        <w:rPr>
          <w:b/>
          <w:bCs/>
        </w:rPr>
        <w:t>current-reversal IR jump</w:t>
      </w:r>
      <w:r>
        <w:t xml:space="preserve">, and the </w:t>
      </w:r>
      <w:r w:rsidRPr="000A7859">
        <w:rPr>
          <w:b/>
          <w:bCs/>
        </w:rPr>
        <w:t>upper charge window</w:t>
      </w:r>
      <w:r>
        <w:t>.</w:t>
      </w:r>
    </w:p>
    <w:p w14:paraId="4166F997" w14:textId="77777777" w:rsidR="007D7B99" w:rsidRPr="00A70C77" w:rsidRDefault="00000000" w:rsidP="00896AEC">
      <w:pPr>
        <w:pStyle w:val="BodyText"/>
        <w:jc w:val="both"/>
        <w:rPr>
          <w:color w:val="FF0000"/>
        </w:rPr>
      </w:pPr>
      <w:r w:rsidRPr="00A70C77">
        <w:rPr>
          <w:color w:val="FF0000"/>
        </w:rPr>
        <w:t xml:space="preserve">For development discussions, this distinction is important: some energy-efficiency penalty is characteristic of the </w:t>
      </w:r>
      <w:r w:rsidRPr="00A70C77">
        <w:rPr>
          <w:b/>
          <w:bCs/>
          <w:color w:val="FF0000"/>
        </w:rPr>
        <w:t>asymmetric pseudocapacitive / hybrid behavior</w:t>
      </w:r>
      <w:r w:rsidRPr="00A70C77">
        <w:rPr>
          <w:color w:val="FF0000"/>
        </w:rPr>
        <w:t>, but low energy efficiency is not a fixed inherent destiny of the chemistry.</w:t>
      </w:r>
    </w:p>
    <w:tbl>
      <w:tblPr>
        <w:tblStyle w:val="Table"/>
        <w:tblW w:w="8047" w:type="dxa"/>
        <w:jc w:val="center"/>
        <w:tblLook w:val="0020" w:firstRow="1" w:lastRow="0" w:firstColumn="0" w:lastColumn="0" w:noHBand="0" w:noVBand="0"/>
      </w:tblPr>
      <w:tblGrid>
        <w:gridCol w:w="4745"/>
        <w:gridCol w:w="1794"/>
        <w:gridCol w:w="1508"/>
      </w:tblGrid>
      <w:tr w:rsidR="00A70C77" w:rsidRPr="00A70C77" w14:paraId="350954D8" w14:textId="77777777" w:rsidTr="00EE6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  <w:tblHeader/>
          <w:jc w:val="center"/>
        </w:trPr>
        <w:tc>
          <w:tcPr>
            <w:tcW w:w="0" w:type="auto"/>
            <w:vAlign w:val="center"/>
          </w:tcPr>
          <w:p w14:paraId="2681F996" w14:textId="77777777" w:rsidR="007D7B99" w:rsidRPr="00A70C77" w:rsidRDefault="00000000" w:rsidP="000A7859">
            <w:pPr>
              <w:pStyle w:val="Compact"/>
              <w:jc w:val="center"/>
              <w:rPr>
                <w:b/>
                <w:bCs/>
                <w:color w:val="FF0000"/>
              </w:rPr>
            </w:pPr>
            <w:r w:rsidRPr="00A70C77">
              <w:rPr>
                <w:b/>
                <w:bCs/>
                <w:color w:val="FF0000"/>
              </w:rPr>
              <w:t>Item</w:t>
            </w:r>
          </w:p>
        </w:tc>
        <w:tc>
          <w:tcPr>
            <w:tcW w:w="0" w:type="auto"/>
            <w:vAlign w:val="center"/>
          </w:tcPr>
          <w:p w14:paraId="6350C043" w14:textId="77777777" w:rsidR="007D7B99" w:rsidRPr="00A70C77" w:rsidRDefault="00000000" w:rsidP="000A7859">
            <w:pPr>
              <w:pStyle w:val="Compact"/>
              <w:jc w:val="center"/>
              <w:rPr>
                <w:b/>
                <w:bCs/>
                <w:color w:val="FF0000"/>
              </w:rPr>
            </w:pPr>
            <w:r w:rsidRPr="00A70C77">
              <w:rPr>
                <w:b/>
                <w:bCs/>
                <w:color w:val="FF0000"/>
              </w:rPr>
              <w:t>Value</w:t>
            </w:r>
          </w:p>
        </w:tc>
        <w:tc>
          <w:tcPr>
            <w:tcW w:w="0" w:type="auto"/>
            <w:vAlign w:val="center"/>
          </w:tcPr>
          <w:p w14:paraId="2BECC333" w14:textId="715E809F" w:rsidR="007D7B99" w:rsidRPr="00A70C77" w:rsidRDefault="007D7B99" w:rsidP="000A7859">
            <w:pPr>
              <w:pStyle w:val="Compact"/>
              <w:jc w:val="center"/>
              <w:rPr>
                <w:b/>
                <w:bCs/>
                <w:color w:val="FF0000"/>
              </w:rPr>
            </w:pPr>
          </w:p>
        </w:tc>
      </w:tr>
      <w:tr w:rsidR="00A70C77" w:rsidRPr="00A70C77" w14:paraId="2AA5EEDC" w14:textId="77777777" w:rsidTr="00EE679F">
        <w:trPr>
          <w:trHeight w:val="470"/>
          <w:jc w:val="center"/>
        </w:trPr>
        <w:tc>
          <w:tcPr>
            <w:tcW w:w="0" w:type="auto"/>
            <w:vAlign w:val="center"/>
          </w:tcPr>
          <w:p w14:paraId="4208A9BA" w14:textId="35C4DF61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 xml:space="preserve">Charge, common window </w:t>
            </w:r>
            <w:r w:rsidR="000A7859" w:rsidRPr="00A70C77">
              <w:rPr>
                <w:color w:val="FF0000"/>
              </w:rPr>
              <w:t>(</w:t>
            </w:r>
            <w:r w:rsidRPr="00A70C77">
              <w:rPr>
                <w:color w:val="FF0000"/>
              </w:rPr>
              <w:t>0.90–1.65 V</w:t>
            </w:r>
            <w:r w:rsidR="000A7859" w:rsidRPr="00A70C77">
              <w:rPr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61641471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>0.06881 Ah</w:t>
            </w:r>
          </w:p>
        </w:tc>
        <w:tc>
          <w:tcPr>
            <w:tcW w:w="0" w:type="auto"/>
            <w:vAlign w:val="center"/>
          </w:tcPr>
          <w:p w14:paraId="57712504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 xml:space="preserve">0.09082 </w:t>
            </w:r>
            <w:proofErr w:type="spellStart"/>
            <w:r w:rsidRPr="00A70C77">
              <w:rPr>
                <w:color w:val="FF0000"/>
              </w:rPr>
              <w:t>Wh</w:t>
            </w:r>
            <w:proofErr w:type="spellEnd"/>
          </w:p>
        </w:tc>
      </w:tr>
      <w:tr w:rsidR="00A70C77" w:rsidRPr="00A70C77" w14:paraId="0E147BF6" w14:textId="77777777" w:rsidTr="00EE679F">
        <w:trPr>
          <w:trHeight w:val="451"/>
          <w:jc w:val="center"/>
        </w:trPr>
        <w:tc>
          <w:tcPr>
            <w:tcW w:w="0" w:type="auto"/>
            <w:vAlign w:val="center"/>
          </w:tcPr>
          <w:p w14:paraId="3AC930AF" w14:textId="3FB638C2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 xml:space="preserve">Discharge, common window </w:t>
            </w:r>
            <w:r w:rsidR="000A7859" w:rsidRPr="00A70C77">
              <w:rPr>
                <w:color w:val="FF0000"/>
              </w:rPr>
              <w:t>(</w:t>
            </w:r>
            <w:r w:rsidRPr="00A70C77">
              <w:rPr>
                <w:color w:val="FF0000"/>
              </w:rPr>
              <w:t>1.65–0.90 V</w:t>
            </w:r>
            <w:r w:rsidR="000A7859" w:rsidRPr="00A70C77">
              <w:rPr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535D7D58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>0.06844 Ah</w:t>
            </w:r>
          </w:p>
        </w:tc>
        <w:tc>
          <w:tcPr>
            <w:tcW w:w="0" w:type="auto"/>
            <w:vAlign w:val="center"/>
          </w:tcPr>
          <w:p w14:paraId="449E75A8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 xml:space="preserve">0.08617 </w:t>
            </w:r>
            <w:proofErr w:type="spellStart"/>
            <w:r w:rsidRPr="00A70C77">
              <w:rPr>
                <w:color w:val="FF0000"/>
              </w:rPr>
              <w:t>Wh</w:t>
            </w:r>
            <w:proofErr w:type="spellEnd"/>
          </w:p>
        </w:tc>
      </w:tr>
      <w:tr w:rsidR="00A70C77" w:rsidRPr="00A70C77" w14:paraId="173C3117" w14:textId="77777777" w:rsidTr="00EE679F">
        <w:trPr>
          <w:trHeight w:val="451"/>
          <w:jc w:val="center"/>
        </w:trPr>
        <w:tc>
          <w:tcPr>
            <w:tcW w:w="0" w:type="auto"/>
            <w:vAlign w:val="center"/>
          </w:tcPr>
          <w:p w14:paraId="42E43C3F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>Common-window coulombic efficiency</w:t>
            </w:r>
          </w:p>
        </w:tc>
        <w:tc>
          <w:tcPr>
            <w:tcW w:w="0" w:type="auto"/>
            <w:vAlign w:val="center"/>
          </w:tcPr>
          <w:p w14:paraId="48E81959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>99.46 ± 0.16 %</w:t>
            </w:r>
          </w:p>
        </w:tc>
        <w:tc>
          <w:tcPr>
            <w:tcW w:w="0" w:type="auto"/>
            <w:vAlign w:val="center"/>
          </w:tcPr>
          <w:p w14:paraId="0B214AB8" w14:textId="77777777" w:rsidR="007D7B99" w:rsidRPr="00A70C77" w:rsidRDefault="007D7B99" w:rsidP="000A7859">
            <w:pPr>
              <w:pStyle w:val="Compact"/>
              <w:jc w:val="center"/>
              <w:rPr>
                <w:color w:val="FF0000"/>
              </w:rPr>
            </w:pPr>
          </w:p>
        </w:tc>
      </w:tr>
      <w:tr w:rsidR="00A70C77" w:rsidRPr="00A70C77" w14:paraId="3772658F" w14:textId="77777777" w:rsidTr="00EE679F">
        <w:trPr>
          <w:trHeight w:val="470"/>
          <w:jc w:val="center"/>
        </w:trPr>
        <w:tc>
          <w:tcPr>
            <w:tcW w:w="0" w:type="auto"/>
            <w:vAlign w:val="center"/>
          </w:tcPr>
          <w:p w14:paraId="7B33F454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>Common-window energy efficiency</w:t>
            </w:r>
          </w:p>
        </w:tc>
        <w:tc>
          <w:tcPr>
            <w:tcW w:w="0" w:type="auto"/>
            <w:vAlign w:val="center"/>
          </w:tcPr>
          <w:p w14:paraId="13312478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>94.90 ± 0.40 %</w:t>
            </w:r>
          </w:p>
        </w:tc>
        <w:tc>
          <w:tcPr>
            <w:tcW w:w="0" w:type="auto"/>
            <w:vAlign w:val="center"/>
          </w:tcPr>
          <w:p w14:paraId="5F50BD13" w14:textId="77777777" w:rsidR="007D7B99" w:rsidRPr="00A70C77" w:rsidRDefault="007D7B99" w:rsidP="000A7859">
            <w:pPr>
              <w:pStyle w:val="Compact"/>
              <w:jc w:val="center"/>
              <w:rPr>
                <w:color w:val="FF0000"/>
              </w:rPr>
            </w:pPr>
          </w:p>
        </w:tc>
      </w:tr>
      <w:tr w:rsidR="00A70C77" w:rsidRPr="00A70C77" w14:paraId="72A8DC27" w14:textId="77777777" w:rsidTr="00EE679F">
        <w:trPr>
          <w:trHeight w:val="451"/>
          <w:jc w:val="center"/>
        </w:trPr>
        <w:tc>
          <w:tcPr>
            <w:tcW w:w="0" w:type="auto"/>
            <w:vAlign w:val="center"/>
          </w:tcPr>
          <w:p w14:paraId="3AAEE8C1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>Common-window voltage efficiency</w:t>
            </w:r>
          </w:p>
        </w:tc>
        <w:tc>
          <w:tcPr>
            <w:tcW w:w="0" w:type="auto"/>
            <w:vAlign w:val="center"/>
          </w:tcPr>
          <w:p w14:paraId="63240ABB" w14:textId="77777777" w:rsidR="007D7B99" w:rsidRPr="00A70C77" w:rsidRDefault="00000000" w:rsidP="000A7859">
            <w:pPr>
              <w:pStyle w:val="Compact"/>
              <w:jc w:val="center"/>
              <w:rPr>
                <w:color w:val="FF0000"/>
              </w:rPr>
            </w:pPr>
            <w:r w:rsidRPr="00A70C77">
              <w:rPr>
                <w:color w:val="FF0000"/>
              </w:rPr>
              <w:t>95.41 ± 0.25 %</w:t>
            </w:r>
          </w:p>
        </w:tc>
        <w:tc>
          <w:tcPr>
            <w:tcW w:w="0" w:type="auto"/>
            <w:vAlign w:val="center"/>
          </w:tcPr>
          <w:p w14:paraId="78BC80DF" w14:textId="77777777" w:rsidR="007D7B99" w:rsidRPr="00A70C77" w:rsidRDefault="007D7B99" w:rsidP="000A7859">
            <w:pPr>
              <w:pStyle w:val="Compact"/>
              <w:jc w:val="center"/>
              <w:rPr>
                <w:color w:val="FF0000"/>
              </w:rPr>
            </w:pPr>
          </w:p>
        </w:tc>
      </w:tr>
    </w:tbl>
    <w:p w14:paraId="2ED51551" w14:textId="77777777" w:rsidR="00A24463" w:rsidRDefault="00A24463" w:rsidP="00A24463">
      <w:pPr>
        <w:pStyle w:val="Heading2"/>
        <w:jc w:val="both"/>
      </w:pPr>
      <w:bookmarkStart w:id="10" w:name="X1262e083ce90aa4bc0d74eb5a7371a0142edd36"/>
      <w:bookmarkEnd w:id="9"/>
    </w:p>
    <w:p w14:paraId="66B308F7" w14:textId="77777777" w:rsidR="00A24463" w:rsidRDefault="00A2446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F3C8BFF" w14:textId="118836D9" w:rsidR="00A24463" w:rsidRDefault="00EE679F" w:rsidP="00A24463">
      <w:pPr>
        <w:pStyle w:val="Heading2"/>
        <w:jc w:val="both"/>
      </w:pPr>
      <w:r>
        <w:lastRenderedPageBreak/>
        <w:t>3</w:t>
      </w:r>
      <w:r w:rsidR="00A24463">
        <w:t>) Energy Map by Voltage Window</w:t>
      </w:r>
    </w:p>
    <w:p w14:paraId="40D373C1" w14:textId="073383C2" w:rsidR="00A24463" w:rsidRDefault="00A24463" w:rsidP="00A24463">
      <w:pPr>
        <w:pStyle w:val="FirstParagraph"/>
        <w:jc w:val="both"/>
      </w:pPr>
      <w:r>
        <w:t xml:space="preserve">Charging and discharge energy are not mirror images for this cell. More watt-hours are inserted during charging in the </w:t>
      </w:r>
      <w:r w:rsidRPr="00944C74">
        <w:rPr>
          <w:b/>
          <w:bCs/>
        </w:rPr>
        <w:t>upper-voltage region (1.45 – 1.72V)</w:t>
      </w:r>
      <w:r>
        <w:t xml:space="preserve"> because energy weighting increases with voltage and the upper branch shows stronger pseudocapacitive / faradaic amplification. On discharge, the recoverable watt-hours are distributed more strongly across the </w:t>
      </w:r>
      <w:r w:rsidRPr="00944C74">
        <w:rPr>
          <w:b/>
          <w:bCs/>
        </w:rPr>
        <w:t>mid and lower windows</w:t>
      </w:r>
      <w:r>
        <w:t xml:space="preserve"> </w:t>
      </w:r>
      <w:r w:rsidRPr="00944C74">
        <w:rPr>
          <w:b/>
          <w:bCs/>
        </w:rPr>
        <w:t>(1.65-0.60 V)</w:t>
      </w:r>
      <w:r>
        <w:t xml:space="preserve"> because discharge begins after an IR drop and then proceeds through a flatter plateau.</w:t>
      </w:r>
    </w:p>
    <w:p w14:paraId="0B0C7CD9" w14:textId="77777777" w:rsidR="00A24463" w:rsidRDefault="00A24463" w:rsidP="00A24463">
      <w:pPr>
        <w:pStyle w:val="BodyText"/>
        <w:jc w:val="both"/>
      </w:pPr>
      <w:r>
        <w:t xml:space="preserve">This means that pushing farther into the </w:t>
      </w:r>
      <w:r w:rsidRPr="00944C74">
        <w:rPr>
          <w:b/>
          <w:bCs/>
        </w:rPr>
        <w:t>upper-voltage region</w:t>
      </w:r>
      <w:r>
        <w:t xml:space="preserve"> can increase charged watt-hours, but it also increases the risk of </w:t>
      </w:r>
      <w:r w:rsidRPr="00944C74">
        <w:rPr>
          <w:b/>
          <w:bCs/>
        </w:rPr>
        <w:t>losing energy efficiency</w:t>
      </w:r>
      <w:r>
        <w:t xml:space="preserve"> through branch </w:t>
      </w:r>
      <w:r w:rsidRPr="00944C74">
        <w:rPr>
          <w:b/>
          <w:bCs/>
        </w:rPr>
        <w:t>hysteresis</w:t>
      </w:r>
      <w:r>
        <w:t xml:space="preserve"> and </w:t>
      </w:r>
      <w:r w:rsidRPr="00944C74">
        <w:rPr>
          <w:b/>
          <w:bCs/>
        </w:rPr>
        <w:t>current-reversal IR loss</w:t>
      </w:r>
      <w:r>
        <w:t xml:space="preserve">. </w:t>
      </w:r>
      <w:r w:rsidRPr="00982381">
        <w:rPr>
          <w:color w:val="FF0000"/>
        </w:rPr>
        <w:t>For non-zinc-mode comparison work, the useful engineering question is therefore not simply how much energy can be inserted, but how much energy can be recovered consistently and repeatably</w:t>
      </w:r>
      <w:r>
        <w:t>.</w:t>
      </w:r>
    </w:p>
    <w:p w14:paraId="791E3A1D" w14:textId="31ACEEE3" w:rsidR="00A24463" w:rsidRDefault="00A24463" w:rsidP="00A24463">
      <w:pPr>
        <w:pStyle w:val="BodyText"/>
        <w:jc w:val="both"/>
      </w:pPr>
      <w:r w:rsidRPr="00F2166E">
        <w:rPr>
          <w:b/>
          <w:bCs/>
        </w:rPr>
        <w:t>A good balance window is about 0.85–1.55 V nominal for non-zinc-mode comparison work.</w:t>
      </w:r>
      <w:r>
        <w:rPr>
          <w:b/>
          <w:bCs/>
        </w:rPr>
        <w:t xml:space="preserve"> </w:t>
      </w:r>
      <w:r>
        <w:t xml:space="preserve">A </w:t>
      </w:r>
      <w:r w:rsidRPr="00F2166E">
        <w:t>more conservative, higher-recovery / higher-repeatability window</w:t>
      </w:r>
      <w:r>
        <w:t xml:space="preserve"> is </w:t>
      </w:r>
      <w:r w:rsidRPr="00F2166E">
        <w:rPr>
          <w:b/>
          <w:bCs/>
        </w:rPr>
        <w:t>0.85–1.50 V</w:t>
      </w:r>
      <w:r w:rsidRPr="00F2166E">
        <w:t>.</w:t>
      </w:r>
      <w:r>
        <w:t xml:space="preserve"> The normal window of</w:t>
      </w:r>
      <w:r w:rsidRPr="00F2166E">
        <w:t xml:space="preserve"> </w:t>
      </w:r>
      <w:r w:rsidRPr="00F2166E">
        <w:rPr>
          <w:b/>
          <w:bCs/>
        </w:rPr>
        <w:t>0.85–1.70 V</w:t>
      </w:r>
      <w:r w:rsidRPr="00F2166E">
        <w:t xml:space="preserve"> </w:t>
      </w:r>
      <w:r>
        <w:t xml:space="preserve">should not be used </w:t>
      </w:r>
      <w:r w:rsidRPr="00F2166E">
        <w:t xml:space="preserve">as the primary comparison window if the goal is recoverable </w:t>
      </w:r>
      <w:proofErr w:type="spellStart"/>
      <w:r w:rsidRPr="00F2166E">
        <w:t>Wh</w:t>
      </w:r>
      <w:proofErr w:type="spellEnd"/>
      <w:r w:rsidRPr="00F2166E">
        <w:t xml:space="preserve"> rather than maximum inserted Wh.</w:t>
      </w:r>
      <w:r>
        <w:t xml:space="preserve"> </w:t>
      </w:r>
      <w:r w:rsidRPr="00F2166E">
        <w:t>The most reliable way to judge the tradeoff is to look at the marginal return from each added upper-voltage band in the steady 4.5 A cycling data. When the upper region</w:t>
      </w:r>
      <w:r>
        <w:t xml:space="preserve"> is split</w:t>
      </w:r>
      <w:r w:rsidRPr="00F2166E">
        <w:t xml:space="preserve"> into 50 mV slices, the additional stored energy on charge and the additional recovered energy on discharge </w:t>
      </w:r>
      <w:proofErr w:type="gramStart"/>
      <w:r w:rsidRPr="00F2166E">
        <w:t>behave</w:t>
      </w:r>
      <w:proofErr w:type="gramEnd"/>
      <w:r>
        <w:t>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375"/>
        <w:gridCol w:w="1488"/>
        <w:gridCol w:w="1808"/>
        <w:gridCol w:w="1553"/>
      </w:tblGrid>
      <w:tr w:rsidR="00A24463" w:rsidRPr="00207A27" w14:paraId="45824B45" w14:textId="77777777" w:rsidTr="0037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17A86DF6" w14:textId="77777777" w:rsidR="00A24463" w:rsidRPr="00207A27" w:rsidRDefault="00A24463" w:rsidP="0037441E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Window, V</w:t>
            </w:r>
          </w:p>
        </w:tc>
        <w:tc>
          <w:tcPr>
            <w:tcW w:w="0" w:type="auto"/>
            <w:vAlign w:val="center"/>
          </w:tcPr>
          <w:p w14:paraId="338F40EC" w14:textId="77777777" w:rsidR="00A24463" w:rsidRPr="00207A27" w:rsidRDefault="00A24463" w:rsidP="0037441E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Charge, </w:t>
            </w:r>
            <w:proofErr w:type="spellStart"/>
            <w:r>
              <w:rPr>
                <w:b/>
                <w:bCs/>
              </w:rPr>
              <w:t>Wh</w:t>
            </w:r>
            <w:proofErr w:type="spellEnd"/>
          </w:p>
        </w:tc>
        <w:tc>
          <w:tcPr>
            <w:tcW w:w="0" w:type="auto"/>
            <w:vAlign w:val="center"/>
          </w:tcPr>
          <w:p w14:paraId="19BA6D50" w14:textId="77777777" w:rsidR="00A24463" w:rsidRPr="00207A27" w:rsidRDefault="00A24463" w:rsidP="0037441E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Discharge, </w:t>
            </w:r>
            <w:proofErr w:type="spellStart"/>
            <w:r>
              <w:rPr>
                <w:b/>
                <w:bCs/>
              </w:rPr>
              <w:t>Wh</w:t>
            </w:r>
            <w:proofErr w:type="spellEnd"/>
          </w:p>
        </w:tc>
        <w:tc>
          <w:tcPr>
            <w:tcW w:w="0" w:type="auto"/>
            <w:vAlign w:val="center"/>
          </w:tcPr>
          <w:p w14:paraId="200045CB" w14:textId="77777777" w:rsidR="00A24463" w:rsidRPr="00207A27" w:rsidRDefault="00A24463" w:rsidP="0037441E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Recovery, %</w:t>
            </w:r>
          </w:p>
        </w:tc>
      </w:tr>
      <w:tr w:rsidR="00A24463" w:rsidRPr="00207A27" w14:paraId="2A3ECF00" w14:textId="77777777" w:rsidTr="0037441E">
        <w:trPr>
          <w:jc w:val="center"/>
        </w:trPr>
        <w:tc>
          <w:tcPr>
            <w:tcW w:w="0" w:type="auto"/>
            <w:vAlign w:val="center"/>
          </w:tcPr>
          <w:p w14:paraId="328E7DB2" w14:textId="77777777" w:rsidR="00A24463" w:rsidRPr="00376743" w:rsidRDefault="00A24463" w:rsidP="0037441E">
            <w:pPr>
              <w:pStyle w:val="Compact"/>
              <w:jc w:val="center"/>
            </w:pPr>
            <w:r>
              <w:t>1.45-1.50</w:t>
            </w:r>
          </w:p>
        </w:tc>
        <w:tc>
          <w:tcPr>
            <w:tcW w:w="0" w:type="auto"/>
            <w:vAlign w:val="center"/>
          </w:tcPr>
          <w:p w14:paraId="1F78D129" w14:textId="77777777" w:rsidR="00A24463" w:rsidRPr="00376743" w:rsidRDefault="00A24463" w:rsidP="0037441E">
            <w:pPr>
              <w:pStyle w:val="Compact"/>
              <w:jc w:val="center"/>
            </w:pPr>
            <w:r w:rsidRPr="00376743">
              <w:t>0.</w:t>
            </w:r>
            <w:r>
              <w:t>00762</w:t>
            </w:r>
          </w:p>
        </w:tc>
        <w:tc>
          <w:tcPr>
            <w:tcW w:w="0" w:type="auto"/>
            <w:vAlign w:val="center"/>
          </w:tcPr>
          <w:p w14:paraId="78FCCDE9" w14:textId="77777777" w:rsidR="00A24463" w:rsidRPr="00376743" w:rsidRDefault="00A24463" w:rsidP="0037441E">
            <w:pPr>
              <w:pStyle w:val="Compact"/>
              <w:jc w:val="center"/>
            </w:pPr>
            <w:r w:rsidRPr="00376743">
              <w:t>0.0</w:t>
            </w:r>
            <w:r>
              <w:t>0686</w:t>
            </w:r>
          </w:p>
        </w:tc>
        <w:tc>
          <w:tcPr>
            <w:tcW w:w="0" w:type="auto"/>
            <w:vAlign w:val="center"/>
          </w:tcPr>
          <w:p w14:paraId="15745071" w14:textId="77777777" w:rsidR="00A24463" w:rsidRPr="00376743" w:rsidRDefault="00A24463" w:rsidP="0037441E">
            <w:pPr>
              <w:pStyle w:val="Compact"/>
              <w:jc w:val="center"/>
            </w:pPr>
            <w:r>
              <w:t>90</w:t>
            </w:r>
          </w:p>
        </w:tc>
      </w:tr>
      <w:tr w:rsidR="00A24463" w:rsidRPr="00207A27" w14:paraId="1B0FB06F" w14:textId="77777777" w:rsidTr="0037441E">
        <w:trPr>
          <w:jc w:val="center"/>
        </w:trPr>
        <w:tc>
          <w:tcPr>
            <w:tcW w:w="0" w:type="auto"/>
            <w:vAlign w:val="center"/>
          </w:tcPr>
          <w:p w14:paraId="46980592" w14:textId="77777777" w:rsidR="00A24463" w:rsidRPr="00376743" w:rsidRDefault="00A24463" w:rsidP="0037441E">
            <w:pPr>
              <w:pStyle w:val="Compact"/>
              <w:jc w:val="center"/>
            </w:pPr>
            <w:r>
              <w:t>1.50-1.55</w:t>
            </w:r>
          </w:p>
        </w:tc>
        <w:tc>
          <w:tcPr>
            <w:tcW w:w="0" w:type="auto"/>
            <w:vAlign w:val="center"/>
          </w:tcPr>
          <w:p w14:paraId="511A9252" w14:textId="77777777" w:rsidR="00A24463" w:rsidRPr="00376743" w:rsidRDefault="00A24463" w:rsidP="0037441E">
            <w:pPr>
              <w:pStyle w:val="Compact"/>
              <w:jc w:val="center"/>
            </w:pPr>
            <w:r>
              <w:t>0.00836</w:t>
            </w:r>
          </w:p>
        </w:tc>
        <w:tc>
          <w:tcPr>
            <w:tcW w:w="0" w:type="auto"/>
            <w:vAlign w:val="center"/>
          </w:tcPr>
          <w:p w14:paraId="036C3D4B" w14:textId="77777777" w:rsidR="00A24463" w:rsidRPr="00376743" w:rsidRDefault="00A24463" w:rsidP="0037441E">
            <w:pPr>
              <w:pStyle w:val="Compact"/>
              <w:jc w:val="center"/>
            </w:pPr>
            <w:r w:rsidRPr="00376743">
              <w:t>0.0</w:t>
            </w:r>
            <w:r>
              <w:t>0674</w:t>
            </w:r>
          </w:p>
        </w:tc>
        <w:tc>
          <w:tcPr>
            <w:tcW w:w="0" w:type="auto"/>
            <w:vAlign w:val="center"/>
          </w:tcPr>
          <w:p w14:paraId="6A781021" w14:textId="77777777" w:rsidR="00A24463" w:rsidRPr="00376743" w:rsidRDefault="00A24463" w:rsidP="0037441E">
            <w:pPr>
              <w:pStyle w:val="Compact"/>
              <w:jc w:val="center"/>
            </w:pPr>
            <w:r>
              <w:t>80.7</w:t>
            </w:r>
          </w:p>
        </w:tc>
      </w:tr>
      <w:tr w:rsidR="00A24463" w:rsidRPr="00207A27" w14:paraId="6533A77C" w14:textId="77777777" w:rsidTr="0037441E">
        <w:trPr>
          <w:jc w:val="center"/>
        </w:trPr>
        <w:tc>
          <w:tcPr>
            <w:tcW w:w="0" w:type="auto"/>
            <w:vAlign w:val="center"/>
          </w:tcPr>
          <w:p w14:paraId="43F0621F" w14:textId="77777777" w:rsidR="00A24463" w:rsidRPr="00376743" w:rsidRDefault="00A24463" w:rsidP="0037441E">
            <w:pPr>
              <w:pStyle w:val="Compact"/>
              <w:jc w:val="center"/>
            </w:pPr>
            <w:r>
              <w:t>1.55-1.60</w:t>
            </w:r>
          </w:p>
        </w:tc>
        <w:tc>
          <w:tcPr>
            <w:tcW w:w="0" w:type="auto"/>
            <w:vAlign w:val="center"/>
          </w:tcPr>
          <w:p w14:paraId="77F12A42" w14:textId="77777777" w:rsidR="00A24463" w:rsidRPr="00376743" w:rsidRDefault="00A24463" w:rsidP="0037441E">
            <w:pPr>
              <w:pStyle w:val="Compact"/>
              <w:jc w:val="center"/>
            </w:pPr>
            <w:r>
              <w:t>0.00937</w:t>
            </w:r>
          </w:p>
        </w:tc>
        <w:tc>
          <w:tcPr>
            <w:tcW w:w="0" w:type="auto"/>
            <w:vAlign w:val="center"/>
          </w:tcPr>
          <w:p w14:paraId="79EF0E80" w14:textId="77777777" w:rsidR="00A24463" w:rsidRPr="00376743" w:rsidRDefault="00A24463" w:rsidP="0037441E">
            <w:pPr>
              <w:pStyle w:val="Compact"/>
              <w:jc w:val="center"/>
            </w:pPr>
            <w:r w:rsidRPr="00376743">
              <w:t>0.0</w:t>
            </w:r>
            <w:r>
              <w:t>0637</w:t>
            </w:r>
          </w:p>
        </w:tc>
        <w:tc>
          <w:tcPr>
            <w:tcW w:w="0" w:type="auto"/>
            <w:vAlign w:val="center"/>
          </w:tcPr>
          <w:p w14:paraId="630C2D53" w14:textId="77777777" w:rsidR="00A24463" w:rsidRPr="00376743" w:rsidRDefault="00A24463" w:rsidP="0037441E">
            <w:pPr>
              <w:pStyle w:val="Compact"/>
              <w:jc w:val="center"/>
            </w:pPr>
            <w:r>
              <w:t>68.1</w:t>
            </w:r>
          </w:p>
        </w:tc>
      </w:tr>
      <w:tr w:rsidR="00A24463" w:rsidRPr="00207A27" w14:paraId="3878108A" w14:textId="77777777" w:rsidTr="0037441E">
        <w:trPr>
          <w:jc w:val="center"/>
        </w:trPr>
        <w:tc>
          <w:tcPr>
            <w:tcW w:w="0" w:type="auto"/>
            <w:vAlign w:val="center"/>
          </w:tcPr>
          <w:p w14:paraId="09AD3430" w14:textId="77777777" w:rsidR="00A24463" w:rsidRPr="00376743" w:rsidRDefault="00A24463" w:rsidP="0037441E">
            <w:pPr>
              <w:pStyle w:val="Compact"/>
              <w:jc w:val="center"/>
            </w:pPr>
            <w:r>
              <w:t>1.60-1.65</w:t>
            </w:r>
          </w:p>
        </w:tc>
        <w:tc>
          <w:tcPr>
            <w:tcW w:w="0" w:type="auto"/>
            <w:vAlign w:val="center"/>
          </w:tcPr>
          <w:p w14:paraId="54B7DDBE" w14:textId="77777777" w:rsidR="00A24463" w:rsidRPr="00376743" w:rsidRDefault="00A24463" w:rsidP="0037441E">
            <w:pPr>
              <w:pStyle w:val="Compact"/>
              <w:jc w:val="center"/>
            </w:pPr>
            <w:r>
              <w:t>0.01082</w:t>
            </w:r>
          </w:p>
        </w:tc>
        <w:tc>
          <w:tcPr>
            <w:tcW w:w="0" w:type="auto"/>
            <w:vAlign w:val="center"/>
          </w:tcPr>
          <w:p w14:paraId="2CC2A6BB" w14:textId="77777777" w:rsidR="00A24463" w:rsidRPr="00376743" w:rsidRDefault="00A24463" w:rsidP="0037441E">
            <w:pPr>
              <w:pStyle w:val="Compact"/>
              <w:jc w:val="center"/>
            </w:pPr>
            <w:r w:rsidRPr="00376743">
              <w:t>0.0</w:t>
            </w:r>
            <w:r>
              <w:t>0418</w:t>
            </w:r>
          </w:p>
        </w:tc>
        <w:tc>
          <w:tcPr>
            <w:tcW w:w="0" w:type="auto"/>
            <w:vAlign w:val="center"/>
          </w:tcPr>
          <w:p w14:paraId="42830C34" w14:textId="77777777" w:rsidR="00A24463" w:rsidRPr="00376743" w:rsidRDefault="00A24463" w:rsidP="0037441E">
            <w:pPr>
              <w:pStyle w:val="Compact"/>
              <w:jc w:val="center"/>
            </w:pPr>
            <w:r>
              <w:t>38.7</w:t>
            </w:r>
          </w:p>
        </w:tc>
      </w:tr>
      <w:tr w:rsidR="00A24463" w:rsidRPr="00207A27" w14:paraId="6B611B62" w14:textId="77777777" w:rsidTr="0037441E">
        <w:trPr>
          <w:jc w:val="center"/>
        </w:trPr>
        <w:tc>
          <w:tcPr>
            <w:tcW w:w="0" w:type="auto"/>
            <w:vAlign w:val="center"/>
          </w:tcPr>
          <w:p w14:paraId="711F5C51" w14:textId="77777777" w:rsidR="00A24463" w:rsidRDefault="00A24463" w:rsidP="0037441E">
            <w:pPr>
              <w:pStyle w:val="Compact"/>
              <w:jc w:val="center"/>
            </w:pPr>
            <w:r>
              <w:t>1.65-1.70</w:t>
            </w:r>
          </w:p>
        </w:tc>
        <w:tc>
          <w:tcPr>
            <w:tcW w:w="0" w:type="auto"/>
            <w:vAlign w:val="center"/>
          </w:tcPr>
          <w:p w14:paraId="5B2575A0" w14:textId="77777777" w:rsidR="00A24463" w:rsidRPr="00376743" w:rsidRDefault="00A24463" w:rsidP="0037441E">
            <w:pPr>
              <w:pStyle w:val="Compact"/>
              <w:jc w:val="center"/>
            </w:pPr>
            <w:r>
              <w:t>0.01351</w:t>
            </w:r>
          </w:p>
        </w:tc>
        <w:tc>
          <w:tcPr>
            <w:tcW w:w="0" w:type="auto"/>
            <w:vAlign w:val="center"/>
          </w:tcPr>
          <w:p w14:paraId="471E7209" w14:textId="77777777" w:rsidR="00A24463" w:rsidRPr="00376743" w:rsidRDefault="00A24463" w:rsidP="0037441E">
            <w:pPr>
              <w:pStyle w:val="Compact"/>
              <w:jc w:val="center"/>
            </w:pPr>
            <w:r>
              <w:t>0.00004</w:t>
            </w:r>
          </w:p>
        </w:tc>
        <w:tc>
          <w:tcPr>
            <w:tcW w:w="0" w:type="auto"/>
            <w:vAlign w:val="center"/>
          </w:tcPr>
          <w:p w14:paraId="7609A739" w14:textId="77777777" w:rsidR="00A24463" w:rsidRPr="00376743" w:rsidRDefault="00A24463" w:rsidP="0037441E">
            <w:pPr>
              <w:pStyle w:val="Compact"/>
              <w:jc w:val="center"/>
            </w:pPr>
            <w:r>
              <w:t>0.3</w:t>
            </w:r>
          </w:p>
        </w:tc>
      </w:tr>
    </w:tbl>
    <w:p w14:paraId="07646B2D" w14:textId="747FBB90" w:rsidR="00A24463" w:rsidRPr="00A24463" w:rsidRDefault="00A24463" w:rsidP="00A24463">
      <w:pPr>
        <w:pStyle w:val="BodyText"/>
        <w:jc w:val="both"/>
        <w:rPr>
          <w:lang w:val="en-GB"/>
        </w:rPr>
      </w:pPr>
      <w:r w:rsidRPr="00A24463">
        <w:rPr>
          <w:lang w:val="en-GB"/>
        </w:rPr>
        <w:t xml:space="preserve">A second useful way to see it is cumulative recovered discharge energy. Relative to the full measured non-zinc discharge energy of about </w:t>
      </w:r>
      <w:r w:rsidRPr="00A24463">
        <w:rPr>
          <w:b/>
          <w:bCs/>
          <w:lang w:val="en-GB"/>
        </w:rPr>
        <w:t>0.090</w:t>
      </w:r>
      <w:r>
        <w:rPr>
          <w:b/>
          <w:bCs/>
          <w:lang w:val="en-GB"/>
        </w:rPr>
        <w:t>84</w:t>
      </w:r>
      <w:r w:rsidRPr="00A24463">
        <w:rPr>
          <w:b/>
          <w:bCs/>
          <w:lang w:val="en-GB"/>
        </w:rPr>
        <w:t xml:space="preserve"> </w:t>
      </w:r>
      <w:proofErr w:type="spellStart"/>
      <w:r w:rsidRPr="00A24463">
        <w:rPr>
          <w:b/>
          <w:bCs/>
          <w:lang w:val="en-GB"/>
        </w:rPr>
        <w:t>Wh</w:t>
      </w:r>
      <w:proofErr w:type="spellEnd"/>
      <w:r w:rsidRPr="00A24463">
        <w:rPr>
          <w:lang w:val="en-GB"/>
        </w:rPr>
        <w:t>:</w:t>
      </w:r>
    </w:p>
    <w:p w14:paraId="32705878" w14:textId="77777777" w:rsidR="00A24463" w:rsidRPr="00A24463" w:rsidRDefault="00A24463" w:rsidP="00A24463">
      <w:pPr>
        <w:pStyle w:val="BodyText"/>
        <w:numPr>
          <w:ilvl w:val="0"/>
          <w:numId w:val="3"/>
        </w:numPr>
        <w:jc w:val="both"/>
        <w:rPr>
          <w:lang w:val="en-GB"/>
        </w:rPr>
      </w:pPr>
      <w:r w:rsidRPr="00A24463">
        <w:rPr>
          <w:lang w:val="en-GB"/>
        </w:rPr>
        <w:t xml:space="preserve">up to </w:t>
      </w:r>
      <w:r w:rsidRPr="00A24463">
        <w:rPr>
          <w:b/>
          <w:bCs/>
          <w:lang w:val="en-GB"/>
        </w:rPr>
        <w:t>1.45 V</w:t>
      </w:r>
      <w:r w:rsidRPr="00A24463">
        <w:rPr>
          <w:lang w:val="en-GB"/>
        </w:rPr>
        <w:t xml:space="preserve">, you already retain about </w:t>
      </w:r>
      <w:r w:rsidRPr="00A24463">
        <w:rPr>
          <w:b/>
          <w:bCs/>
          <w:lang w:val="en-GB"/>
        </w:rPr>
        <w:t>73%</w:t>
      </w:r>
    </w:p>
    <w:p w14:paraId="1AFEB323" w14:textId="77777777" w:rsidR="00A24463" w:rsidRPr="00A24463" w:rsidRDefault="00A24463" w:rsidP="00A24463">
      <w:pPr>
        <w:pStyle w:val="BodyText"/>
        <w:numPr>
          <w:ilvl w:val="0"/>
          <w:numId w:val="3"/>
        </w:numPr>
        <w:jc w:val="both"/>
        <w:rPr>
          <w:lang w:val="en-GB"/>
        </w:rPr>
      </w:pPr>
      <w:r w:rsidRPr="00A24463">
        <w:rPr>
          <w:lang w:val="en-GB"/>
        </w:rPr>
        <w:t xml:space="preserve">up to </w:t>
      </w:r>
      <w:r w:rsidRPr="00A24463">
        <w:rPr>
          <w:b/>
          <w:bCs/>
          <w:lang w:val="en-GB"/>
        </w:rPr>
        <w:t>1.55 V</w:t>
      </w:r>
      <w:r w:rsidRPr="00A24463">
        <w:rPr>
          <w:lang w:val="en-GB"/>
        </w:rPr>
        <w:t xml:space="preserve">, you retain about </w:t>
      </w:r>
      <w:r w:rsidRPr="00A24463">
        <w:rPr>
          <w:b/>
          <w:bCs/>
          <w:lang w:val="en-GB"/>
        </w:rPr>
        <w:t>88%</w:t>
      </w:r>
    </w:p>
    <w:p w14:paraId="382AFA64" w14:textId="77777777" w:rsidR="00A24463" w:rsidRPr="00A24463" w:rsidRDefault="00A24463" w:rsidP="00A24463">
      <w:pPr>
        <w:pStyle w:val="BodyText"/>
        <w:numPr>
          <w:ilvl w:val="0"/>
          <w:numId w:val="3"/>
        </w:numPr>
        <w:jc w:val="both"/>
        <w:rPr>
          <w:lang w:val="en-GB"/>
        </w:rPr>
      </w:pPr>
      <w:r w:rsidRPr="00A24463">
        <w:rPr>
          <w:lang w:val="en-GB"/>
        </w:rPr>
        <w:t xml:space="preserve">up to </w:t>
      </w:r>
      <w:r w:rsidRPr="00A24463">
        <w:rPr>
          <w:b/>
          <w:bCs/>
          <w:lang w:val="en-GB"/>
        </w:rPr>
        <w:t>1.60 V</w:t>
      </w:r>
      <w:r w:rsidRPr="00A24463">
        <w:rPr>
          <w:lang w:val="en-GB"/>
        </w:rPr>
        <w:t xml:space="preserve">, you retain about </w:t>
      </w:r>
      <w:r w:rsidRPr="00A24463">
        <w:rPr>
          <w:b/>
          <w:bCs/>
          <w:lang w:val="en-GB"/>
        </w:rPr>
        <w:t>95%</w:t>
      </w:r>
    </w:p>
    <w:p w14:paraId="63D49C67" w14:textId="77777777" w:rsidR="00A24463" w:rsidRPr="00A24463" w:rsidRDefault="00A24463" w:rsidP="00A24463">
      <w:pPr>
        <w:pStyle w:val="BodyText"/>
        <w:numPr>
          <w:ilvl w:val="0"/>
          <w:numId w:val="3"/>
        </w:numPr>
        <w:jc w:val="both"/>
        <w:rPr>
          <w:lang w:val="en-GB"/>
        </w:rPr>
      </w:pPr>
      <w:r w:rsidRPr="00A24463">
        <w:rPr>
          <w:lang w:val="en-GB"/>
        </w:rPr>
        <w:t xml:space="preserve">up to </w:t>
      </w:r>
      <w:r w:rsidRPr="00A24463">
        <w:rPr>
          <w:b/>
          <w:bCs/>
          <w:lang w:val="en-GB"/>
        </w:rPr>
        <w:t>1.65 V</w:t>
      </w:r>
      <w:r w:rsidRPr="00A24463">
        <w:rPr>
          <w:lang w:val="en-GB"/>
        </w:rPr>
        <w:t>, you are essentially at the full discharge value</w:t>
      </w:r>
    </w:p>
    <w:p w14:paraId="4A3BDDA3" w14:textId="77777777" w:rsidR="00A24463" w:rsidRPr="00A24463" w:rsidRDefault="00A24463" w:rsidP="00A24463">
      <w:pPr>
        <w:pStyle w:val="Author"/>
        <w:jc w:val="left"/>
        <w:rPr>
          <w:lang w:val="ru-RU"/>
        </w:rPr>
      </w:pPr>
      <w:r w:rsidRPr="00A24463">
        <w:rPr>
          <w:lang w:val="en-GB"/>
        </w:rPr>
        <w:lastRenderedPageBreak/>
        <w:t xml:space="preserve">But the cost of going higher rises sharply. </w:t>
      </w:r>
      <w:r w:rsidRPr="00A24463">
        <w:rPr>
          <w:lang w:val="ru-RU"/>
        </w:rPr>
        <w:t>In particular:</w:t>
      </w:r>
    </w:p>
    <w:p w14:paraId="75B297B2" w14:textId="77777777" w:rsidR="00A24463" w:rsidRPr="00A24463" w:rsidRDefault="00A24463" w:rsidP="00A24463">
      <w:pPr>
        <w:pStyle w:val="Author"/>
        <w:numPr>
          <w:ilvl w:val="0"/>
          <w:numId w:val="4"/>
        </w:numPr>
        <w:jc w:val="left"/>
        <w:rPr>
          <w:lang w:val="en-GB"/>
        </w:rPr>
      </w:pPr>
      <w:r w:rsidRPr="00A24463">
        <w:rPr>
          <w:lang w:val="en-GB"/>
        </w:rPr>
        <w:t xml:space="preserve">moving from </w:t>
      </w:r>
      <w:r w:rsidRPr="00A24463">
        <w:rPr>
          <w:b/>
          <w:bCs/>
          <w:lang w:val="en-GB"/>
        </w:rPr>
        <w:t>1.45 → 1.55 V</w:t>
      </w:r>
      <w:r w:rsidRPr="00A24463">
        <w:rPr>
          <w:lang w:val="en-GB"/>
        </w:rPr>
        <w:t xml:space="preserve"> adds about </w:t>
      </w:r>
      <w:r w:rsidRPr="00A24463">
        <w:rPr>
          <w:b/>
          <w:bCs/>
          <w:lang w:val="en-GB"/>
        </w:rPr>
        <w:t xml:space="preserve">0.0136 </w:t>
      </w:r>
      <w:proofErr w:type="spellStart"/>
      <w:r w:rsidRPr="00A24463">
        <w:rPr>
          <w:b/>
          <w:bCs/>
          <w:lang w:val="en-GB"/>
        </w:rPr>
        <w:t>Wh</w:t>
      </w:r>
      <w:proofErr w:type="spellEnd"/>
      <w:r w:rsidRPr="00A24463">
        <w:rPr>
          <w:lang w:val="en-GB"/>
        </w:rPr>
        <w:t xml:space="preserve"> of recovered discharge energy, which is still worthwhile</w:t>
      </w:r>
    </w:p>
    <w:p w14:paraId="5F726D91" w14:textId="77777777" w:rsidR="00A24463" w:rsidRPr="00A24463" w:rsidRDefault="00A24463" w:rsidP="00A24463">
      <w:pPr>
        <w:pStyle w:val="Author"/>
        <w:numPr>
          <w:ilvl w:val="0"/>
          <w:numId w:val="4"/>
        </w:numPr>
        <w:jc w:val="left"/>
        <w:rPr>
          <w:lang w:val="en-GB"/>
        </w:rPr>
      </w:pPr>
      <w:r w:rsidRPr="00A24463">
        <w:rPr>
          <w:lang w:val="en-GB"/>
        </w:rPr>
        <w:t xml:space="preserve">moving from </w:t>
      </w:r>
      <w:r w:rsidRPr="00A24463">
        <w:rPr>
          <w:b/>
          <w:bCs/>
          <w:lang w:val="en-GB"/>
        </w:rPr>
        <w:t>1.55 → 1.65 V</w:t>
      </w:r>
      <w:r w:rsidRPr="00A24463">
        <w:rPr>
          <w:lang w:val="en-GB"/>
        </w:rPr>
        <w:t xml:space="preserve"> adds only about </w:t>
      </w:r>
      <w:r w:rsidRPr="00A24463">
        <w:rPr>
          <w:b/>
          <w:bCs/>
          <w:lang w:val="en-GB"/>
        </w:rPr>
        <w:t xml:space="preserve">0.0106 </w:t>
      </w:r>
      <w:proofErr w:type="spellStart"/>
      <w:r w:rsidRPr="00A24463">
        <w:rPr>
          <w:b/>
          <w:bCs/>
          <w:lang w:val="en-GB"/>
        </w:rPr>
        <w:t>Wh</w:t>
      </w:r>
      <w:proofErr w:type="spellEnd"/>
      <w:r w:rsidRPr="00A24463">
        <w:rPr>
          <w:lang w:val="en-GB"/>
        </w:rPr>
        <w:t xml:space="preserve"> recovered, but costs about </w:t>
      </w:r>
      <w:r w:rsidRPr="00A24463">
        <w:rPr>
          <w:b/>
          <w:bCs/>
          <w:lang w:val="en-GB"/>
        </w:rPr>
        <w:t xml:space="preserve">0.0202 </w:t>
      </w:r>
      <w:proofErr w:type="spellStart"/>
      <w:r w:rsidRPr="00A24463">
        <w:rPr>
          <w:b/>
          <w:bCs/>
          <w:lang w:val="en-GB"/>
        </w:rPr>
        <w:t>Wh</w:t>
      </w:r>
      <w:proofErr w:type="spellEnd"/>
      <w:r w:rsidRPr="00A24463">
        <w:rPr>
          <w:lang w:val="en-GB"/>
        </w:rPr>
        <w:t xml:space="preserve"> extra on charge</w:t>
      </w:r>
    </w:p>
    <w:p w14:paraId="63EA584A" w14:textId="10C1C355" w:rsidR="005335CA" w:rsidRPr="005335CA" w:rsidRDefault="00A24463" w:rsidP="00EE679F">
      <w:pPr>
        <w:pStyle w:val="Author"/>
        <w:numPr>
          <w:ilvl w:val="0"/>
          <w:numId w:val="4"/>
        </w:numPr>
        <w:jc w:val="left"/>
        <w:rPr>
          <w:lang w:val="en-GB"/>
        </w:rPr>
      </w:pPr>
      <w:r w:rsidRPr="00A24463">
        <w:rPr>
          <w:lang w:val="en-GB"/>
        </w:rPr>
        <w:t xml:space="preserve">moving from </w:t>
      </w:r>
      <w:r w:rsidRPr="00A24463">
        <w:rPr>
          <w:b/>
          <w:bCs/>
          <w:lang w:val="en-GB"/>
        </w:rPr>
        <w:t>1.65 → 1.70 V</w:t>
      </w:r>
      <w:r w:rsidRPr="00A24463">
        <w:rPr>
          <w:lang w:val="en-GB"/>
        </w:rPr>
        <w:t xml:space="preserve"> is extremely poor for recoverable-energy-based comparison</w:t>
      </w:r>
    </w:p>
    <w:p w14:paraId="48B83808" w14:textId="25E06A0A" w:rsidR="005335CA" w:rsidRPr="005335CA" w:rsidRDefault="005335CA" w:rsidP="005335CA">
      <w:pPr>
        <w:rPr>
          <w:lang w:val="en-GB"/>
        </w:rPr>
      </w:pPr>
      <w:r w:rsidRPr="005335CA">
        <w:rPr>
          <w:lang w:val="en-GB"/>
        </w:rPr>
        <w:t>So, the practical choices are:</w:t>
      </w:r>
    </w:p>
    <w:p w14:paraId="5E4A7108" w14:textId="77777777" w:rsidR="005335CA" w:rsidRPr="005335CA" w:rsidRDefault="005335CA" w:rsidP="005335CA">
      <w:pPr>
        <w:rPr>
          <w:lang w:val="en-GB"/>
        </w:rPr>
      </w:pPr>
      <w:r w:rsidRPr="005335CA">
        <w:rPr>
          <w:b/>
          <w:bCs/>
          <w:lang w:val="en-GB"/>
        </w:rPr>
        <w:t>Best balanced comparison window:</w:t>
      </w:r>
      <w:r w:rsidRPr="005335CA">
        <w:rPr>
          <w:lang w:val="en-GB"/>
        </w:rPr>
        <w:t xml:space="preserve"> </w:t>
      </w:r>
      <w:r w:rsidRPr="005335CA">
        <w:rPr>
          <w:b/>
          <w:bCs/>
          <w:lang w:val="en-GB"/>
        </w:rPr>
        <w:t>0.85–1.55 V</w:t>
      </w:r>
      <w:r w:rsidRPr="005335CA">
        <w:rPr>
          <w:lang w:val="en-GB"/>
        </w:rPr>
        <w:br/>
        <w:t xml:space="preserve">This is the best compromise between added </w:t>
      </w:r>
      <w:proofErr w:type="spellStart"/>
      <w:r w:rsidRPr="005335CA">
        <w:rPr>
          <w:lang w:val="en-GB"/>
        </w:rPr>
        <w:t>Wh</w:t>
      </w:r>
      <w:proofErr w:type="spellEnd"/>
      <w:r w:rsidRPr="005335CA">
        <w:rPr>
          <w:lang w:val="en-GB"/>
        </w:rPr>
        <w:t xml:space="preserve"> and recovered Wh.</w:t>
      </w:r>
    </w:p>
    <w:p w14:paraId="68DF2FD9" w14:textId="07D2EFB2" w:rsidR="005335CA" w:rsidRPr="005335CA" w:rsidRDefault="005335CA" w:rsidP="005335CA">
      <w:pPr>
        <w:rPr>
          <w:lang w:val="en-GB"/>
        </w:rPr>
      </w:pPr>
      <w:r w:rsidRPr="005335CA">
        <w:rPr>
          <w:b/>
          <w:bCs/>
          <w:lang w:val="en-GB"/>
        </w:rPr>
        <w:t>Best conservative / repeatable comparison window:</w:t>
      </w:r>
      <w:r w:rsidRPr="005335CA">
        <w:rPr>
          <w:lang w:val="en-GB"/>
        </w:rPr>
        <w:t xml:space="preserve"> </w:t>
      </w:r>
      <w:r w:rsidRPr="005335CA">
        <w:rPr>
          <w:b/>
          <w:bCs/>
          <w:lang w:val="en-GB"/>
        </w:rPr>
        <w:t>0.85–1.50 V</w:t>
      </w:r>
      <w:r w:rsidRPr="005335CA">
        <w:rPr>
          <w:lang w:val="en-GB"/>
        </w:rPr>
        <w:br/>
      </w:r>
      <w:r>
        <w:rPr>
          <w:lang w:val="en-GB"/>
        </w:rPr>
        <w:t>For</w:t>
      </w:r>
      <w:r w:rsidRPr="005335CA">
        <w:rPr>
          <w:lang w:val="en-GB"/>
        </w:rPr>
        <w:t xml:space="preserve"> tighter non-zinc ranking with less influence from upper-window asymmetry.</w:t>
      </w:r>
    </w:p>
    <w:p w14:paraId="553B7FE8" w14:textId="40F76302" w:rsidR="005335CA" w:rsidRPr="005335CA" w:rsidRDefault="005335CA" w:rsidP="005335CA">
      <w:pPr>
        <w:rPr>
          <w:lang w:val="en-GB"/>
        </w:rPr>
      </w:pPr>
      <w:r w:rsidRPr="005335CA">
        <w:rPr>
          <w:b/>
          <w:bCs/>
          <w:lang w:val="en-GB"/>
        </w:rPr>
        <w:t>Best maximum-energy characterization window:</w:t>
      </w:r>
      <w:r w:rsidRPr="005335CA">
        <w:rPr>
          <w:lang w:val="en-GB"/>
        </w:rPr>
        <w:t xml:space="preserve"> </w:t>
      </w:r>
      <w:r w:rsidRPr="005335CA">
        <w:rPr>
          <w:b/>
          <w:bCs/>
          <w:lang w:val="en-GB"/>
        </w:rPr>
        <w:t>0.85–1.70 V</w:t>
      </w:r>
      <w:r w:rsidRPr="005335CA">
        <w:rPr>
          <w:lang w:val="en-GB"/>
        </w:rPr>
        <w:br/>
      </w:r>
      <w:r>
        <w:rPr>
          <w:lang w:val="en-GB"/>
        </w:rPr>
        <w:t>Intentional</w:t>
      </w:r>
      <w:r w:rsidRPr="005335CA">
        <w:rPr>
          <w:lang w:val="en-GB"/>
        </w:rPr>
        <w:t xml:space="preserve"> probe </w:t>
      </w:r>
      <w:r>
        <w:rPr>
          <w:lang w:val="en-GB"/>
        </w:rPr>
        <w:t xml:space="preserve">into </w:t>
      </w:r>
      <w:r w:rsidRPr="005335CA">
        <w:rPr>
          <w:lang w:val="en-GB"/>
        </w:rPr>
        <w:t xml:space="preserve">the high-energy end, not </w:t>
      </w:r>
      <w:r>
        <w:rPr>
          <w:lang w:val="en-GB"/>
        </w:rPr>
        <w:t>for a</w:t>
      </w:r>
      <w:r w:rsidRPr="005335CA">
        <w:rPr>
          <w:lang w:val="en-GB"/>
        </w:rPr>
        <w:t xml:space="preserve"> cleanest comparison metric.</w:t>
      </w:r>
    </w:p>
    <w:p w14:paraId="2AE9D00A" w14:textId="37F8EEB5" w:rsidR="00A24463" w:rsidRPr="00A24463" w:rsidRDefault="00EE679F" w:rsidP="00EE679F">
      <w:pPr>
        <w:rPr>
          <w:lang w:val="en-GB"/>
        </w:rPr>
      </w:pPr>
      <w:r>
        <w:rPr>
          <w:lang w:val="en-GB"/>
        </w:rPr>
        <w:br w:type="page"/>
      </w:r>
    </w:p>
    <w:p w14:paraId="48BABE17" w14:textId="43781974" w:rsidR="007D7B99" w:rsidRDefault="00EE679F" w:rsidP="00896AEC">
      <w:pPr>
        <w:pStyle w:val="Heading2"/>
        <w:jc w:val="both"/>
      </w:pPr>
      <w:r>
        <w:lastRenderedPageBreak/>
        <w:t>4) Assessment of Standard Current for Future Non-Zinc Sorting</w:t>
      </w:r>
    </w:p>
    <w:p w14:paraId="18EA7A48" w14:textId="77777777" w:rsidR="007D7B99" w:rsidRDefault="00000000" w:rsidP="00896AEC">
      <w:pPr>
        <w:pStyle w:val="BodyText"/>
        <w:jc w:val="both"/>
      </w:pPr>
      <w:r>
        <w:t xml:space="preserve">In practical terms, </w:t>
      </w:r>
      <w:r w:rsidRPr="00376743">
        <w:rPr>
          <w:b/>
          <w:bCs/>
        </w:rPr>
        <w:t>3.465 A</w:t>
      </w:r>
      <w:r>
        <w:t xml:space="preserve"> is a good choice for the </w:t>
      </w:r>
      <w:r w:rsidRPr="00376743">
        <w:rPr>
          <w:b/>
          <w:bCs/>
        </w:rPr>
        <w:t>0.85–1.70 V non-zinc mode</w:t>
      </w:r>
      <w:r>
        <w:t xml:space="preserve"> used for sorting, comparison, and scale-up. It is close enough to the CV-equivalent neutral current to preserve continuity with the observed branch behavior, yet low enough to avoid over-emphasizing the upper-window faradaic acceleration that becomes more visible at </w:t>
      </w:r>
      <w:r w:rsidRPr="00376743">
        <w:rPr>
          <w:b/>
          <w:bCs/>
        </w:rPr>
        <w:t>4.5 A</w:t>
      </w:r>
      <w:r>
        <w:t>.</w:t>
      </w:r>
    </w:p>
    <w:p w14:paraId="7661ED73" w14:textId="77777777" w:rsidR="007D7B99" w:rsidRDefault="00000000" w:rsidP="00896AEC">
      <w:pPr>
        <w:pStyle w:val="BodyText"/>
        <w:jc w:val="both"/>
      </w:pPr>
      <w:r>
        <w:t xml:space="preserve">If the cell does not plateau or takes a long time to increase voltage when pushed deeper into the </w:t>
      </w:r>
      <w:r w:rsidRPr="00376743">
        <w:rPr>
          <w:b/>
          <w:bCs/>
        </w:rPr>
        <w:t>1.70–1.80 V purely faradaic region</w:t>
      </w:r>
      <w:r>
        <w:t xml:space="preserve"> at approximately </w:t>
      </w:r>
      <w:r w:rsidRPr="00376743">
        <w:rPr>
          <w:b/>
          <w:bCs/>
        </w:rPr>
        <w:t>3.3–3.5 A</w:t>
      </w:r>
      <w:r>
        <w:t xml:space="preserve">, that behavior is consistent with charge being consumed by ongoing faradaic storage rather than only surface charging. This does not argue against </w:t>
      </w:r>
      <w:r w:rsidRPr="00376743">
        <w:rPr>
          <w:b/>
          <w:bCs/>
        </w:rPr>
        <w:t>3.465 A</w:t>
      </w:r>
      <w:r>
        <w:t xml:space="preserve"> as the non-zinc standard current. Instead, it supports keeping the non-zinc sorting window separate from the deeper faradaic window.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D7B99" w:rsidRPr="00376743" w14:paraId="6407D4D0" w14:textId="77777777" w:rsidTr="00376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vAlign w:val="center"/>
          </w:tcPr>
          <w:p w14:paraId="25DF580E" w14:textId="77777777" w:rsidR="007D7B99" w:rsidRPr="00376743" w:rsidRDefault="00000000" w:rsidP="00376743">
            <w:pPr>
              <w:pStyle w:val="Compact"/>
              <w:jc w:val="center"/>
              <w:rPr>
                <w:b/>
                <w:bCs/>
              </w:rPr>
            </w:pPr>
            <w:r w:rsidRPr="00376743">
              <w:rPr>
                <w:b/>
                <w:bCs/>
              </w:rPr>
              <w:t>Basis</w:t>
            </w:r>
          </w:p>
        </w:tc>
        <w:tc>
          <w:tcPr>
            <w:tcW w:w="2640" w:type="dxa"/>
            <w:vAlign w:val="center"/>
          </w:tcPr>
          <w:p w14:paraId="0441CD8F" w14:textId="77777777" w:rsidR="007D7B99" w:rsidRPr="00376743" w:rsidRDefault="00000000" w:rsidP="00376743">
            <w:pPr>
              <w:pStyle w:val="Compact"/>
              <w:jc w:val="center"/>
              <w:rPr>
                <w:b/>
                <w:bCs/>
              </w:rPr>
            </w:pPr>
            <w:r w:rsidRPr="00376743">
              <w:rPr>
                <w:b/>
                <w:bCs/>
              </w:rPr>
              <w:t>Input</w:t>
            </w:r>
          </w:p>
        </w:tc>
        <w:tc>
          <w:tcPr>
            <w:tcW w:w="2640" w:type="dxa"/>
            <w:vAlign w:val="center"/>
          </w:tcPr>
          <w:p w14:paraId="6B778A77" w14:textId="77777777" w:rsidR="007D7B99" w:rsidRPr="00376743" w:rsidRDefault="00000000" w:rsidP="00376743">
            <w:pPr>
              <w:pStyle w:val="Compact"/>
              <w:jc w:val="center"/>
              <w:rPr>
                <w:b/>
                <w:bCs/>
              </w:rPr>
            </w:pPr>
            <w:r w:rsidRPr="00376743">
              <w:rPr>
                <w:b/>
                <w:bCs/>
              </w:rPr>
              <w:t>Equivalent current</w:t>
            </w:r>
          </w:p>
        </w:tc>
      </w:tr>
      <w:tr w:rsidR="007D7B99" w:rsidRPr="00376743" w14:paraId="19CA9D0C" w14:textId="77777777" w:rsidTr="00376743">
        <w:trPr>
          <w:jc w:val="center"/>
        </w:trPr>
        <w:tc>
          <w:tcPr>
            <w:tcW w:w="2640" w:type="dxa"/>
            <w:vAlign w:val="center"/>
          </w:tcPr>
          <w:p w14:paraId="1B7C2AD2" w14:textId="77777777" w:rsidR="007D7B99" w:rsidRPr="00807F1E" w:rsidRDefault="00000000" w:rsidP="00376743">
            <w:pPr>
              <w:pStyle w:val="Compact"/>
              <w:jc w:val="center"/>
            </w:pPr>
            <w:r w:rsidRPr="00807F1E">
              <w:t>Discharge usable capacitance basis</w:t>
            </w:r>
          </w:p>
        </w:tc>
        <w:tc>
          <w:tcPr>
            <w:tcW w:w="2640" w:type="dxa"/>
            <w:vAlign w:val="center"/>
          </w:tcPr>
          <w:p w14:paraId="05838C6A" w14:textId="77777777" w:rsidR="007D7B99" w:rsidRPr="00807F1E" w:rsidRDefault="00000000" w:rsidP="00376743">
            <w:pPr>
              <w:pStyle w:val="Compact"/>
              <w:jc w:val="center"/>
            </w:pPr>
            <w:r w:rsidRPr="00807F1E">
              <w:t>C ≈ 330.3 F</w:t>
            </w:r>
          </w:p>
        </w:tc>
        <w:tc>
          <w:tcPr>
            <w:tcW w:w="2640" w:type="dxa"/>
            <w:vAlign w:val="center"/>
          </w:tcPr>
          <w:p w14:paraId="22AE74FC" w14:textId="77777777" w:rsidR="007D7B99" w:rsidRPr="00807F1E" w:rsidRDefault="00000000" w:rsidP="00376743">
            <w:pPr>
              <w:pStyle w:val="Compact"/>
              <w:jc w:val="center"/>
            </w:pPr>
            <w:r w:rsidRPr="00807F1E">
              <w:t>I ≈ C × ν = 3.30 A at 10 mV/s</w:t>
            </w:r>
          </w:p>
        </w:tc>
      </w:tr>
      <w:tr w:rsidR="007D7B99" w:rsidRPr="00376743" w14:paraId="59D2FF8F" w14:textId="77777777" w:rsidTr="00376743">
        <w:trPr>
          <w:jc w:val="center"/>
        </w:trPr>
        <w:tc>
          <w:tcPr>
            <w:tcW w:w="2640" w:type="dxa"/>
            <w:vAlign w:val="center"/>
          </w:tcPr>
          <w:p w14:paraId="0CF7A35D" w14:textId="77777777" w:rsidR="007D7B99" w:rsidRPr="00807F1E" w:rsidRDefault="00000000" w:rsidP="00376743">
            <w:pPr>
              <w:pStyle w:val="Compact"/>
              <w:jc w:val="center"/>
            </w:pPr>
            <w:r w:rsidRPr="00807F1E">
              <w:t>Charge/discharge mid-window basis</w:t>
            </w:r>
          </w:p>
        </w:tc>
        <w:tc>
          <w:tcPr>
            <w:tcW w:w="2640" w:type="dxa"/>
            <w:vAlign w:val="center"/>
          </w:tcPr>
          <w:p w14:paraId="1342DDA3" w14:textId="77777777" w:rsidR="007D7B99" w:rsidRPr="00807F1E" w:rsidRDefault="00000000" w:rsidP="00376743">
            <w:pPr>
              <w:pStyle w:val="Compact"/>
              <w:jc w:val="center"/>
            </w:pPr>
            <w:r w:rsidRPr="00807F1E">
              <w:t>C ≈ 344–345 F</w:t>
            </w:r>
          </w:p>
        </w:tc>
        <w:tc>
          <w:tcPr>
            <w:tcW w:w="2640" w:type="dxa"/>
            <w:vAlign w:val="center"/>
          </w:tcPr>
          <w:p w14:paraId="073D6832" w14:textId="77777777" w:rsidR="007D7B99" w:rsidRPr="00807F1E" w:rsidRDefault="00000000" w:rsidP="00376743">
            <w:pPr>
              <w:pStyle w:val="Compact"/>
              <w:jc w:val="center"/>
            </w:pPr>
            <w:r w:rsidRPr="00807F1E">
              <w:t>I ≈ C × ν = 3.45 A at 10 mV/s</w:t>
            </w:r>
          </w:p>
        </w:tc>
      </w:tr>
      <w:tr w:rsidR="007D7B99" w:rsidRPr="00376743" w14:paraId="4A258FBD" w14:textId="77777777" w:rsidTr="00376743">
        <w:trPr>
          <w:jc w:val="center"/>
        </w:trPr>
        <w:tc>
          <w:tcPr>
            <w:tcW w:w="2640" w:type="dxa"/>
            <w:vAlign w:val="center"/>
          </w:tcPr>
          <w:p w14:paraId="0EA2F009" w14:textId="77777777" w:rsidR="007D7B99" w:rsidRPr="00807F1E" w:rsidRDefault="00000000" w:rsidP="00376743">
            <w:pPr>
              <w:pStyle w:val="Compact"/>
              <w:jc w:val="center"/>
            </w:pPr>
            <w:r w:rsidRPr="00807F1E">
              <w:t>Active-area criterion</w:t>
            </w:r>
          </w:p>
        </w:tc>
        <w:tc>
          <w:tcPr>
            <w:tcW w:w="2640" w:type="dxa"/>
            <w:vAlign w:val="center"/>
          </w:tcPr>
          <w:p w14:paraId="1BDF5001" w14:textId="77777777" w:rsidR="007D7B99" w:rsidRPr="00807F1E" w:rsidRDefault="00000000" w:rsidP="00376743">
            <w:pPr>
              <w:pStyle w:val="Compact"/>
              <w:jc w:val="center"/>
            </w:pPr>
            <w:r w:rsidRPr="00807F1E">
              <w:t>20 mA·cm⁻² × 173.24 cm²</w:t>
            </w:r>
          </w:p>
        </w:tc>
        <w:tc>
          <w:tcPr>
            <w:tcW w:w="2640" w:type="dxa"/>
            <w:vAlign w:val="center"/>
          </w:tcPr>
          <w:p w14:paraId="610CFBD2" w14:textId="77777777" w:rsidR="007D7B99" w:rsidRPr="00807F1E" w:rsidRDefault="00000000" w:rsidP="00376743">
            <w:pPr>
              <w:pStyle w:val="Compact"/>
              <w:jc w:val="center"/>
            </w:pPr>
            <w:r w:rsidRPr="00807F1E">
              <w:t>I = 3.465 A</w:t>
            </w:r>
          </w:p>
        </w:tc>
      </w:tr>
    </w:tbl>
    <w:p w14:paraId="1E082772" w14:textId="0F3E3898" w:rsidR="007D7B99" w:rsidRDefault="00000000" w:rsidP="00376743">
      <w:pPr>
        <w:pStyle w:val="BodyText"/>
      </w:pPr>
      <w:r>
        <w:rPr>
          <w:b/>
          <w:bCs/>
        </w:rPr>
        <w:t>Primary standard current for non-zinc sorting, comparison, and scale-up:</w:t>
      </w:r>
      <w:r>
        <w:t xml:space="preserve"> 3.465 A.</w:t>
      </w:r>
      <w:r>
        <w:br/>
      </w:r>
      <w:r>
        <w:rPr>
          <w:b/>
          <w:bCs/>
        </w:rPr>
        <w:t>Lower-stress energy or leakage characterization current, when needed:</w:t>
      </w:r>
      <w:r>
        <w:t xml:space="preserve"> 2.5 A.</w:t>
      </w:r>
    </w:p>
    <w:p w14:paraId="39DDF577" w14:textId="3DD5B1AA" w:rsidR="007D7B99" w:rsidRDefault="00EE679F" w:rsidP="00896AEC">
      <w:pPr>
        <w:pStyle w:val="Heading2"/>
        <w:jc w:val="both"/>
      </w:pPr>
      <w:bookmarkStart w:id="11" w:name="recommended-standard-reported-parameters"/>
      <w:bookmarkEnd w:id="10"/>
      <w:r>
        <w:t>5) Recommended Standard Reported Parameters</w:t>
      </w:r>
    </w:p>
    <w:p w14:paraId="131EA0CA" w14:textId="77777777" w:rsidR="007D7B99" w:rsidRDefault="00000000" w:rsidP="00896AEC">
      <w:pPr>
        <w:pStyle w:val="FirstParagraph"/>
        <w:jc w:val="both"/>
      </w:pPr>
      <w:r>
        <w:t xml:space="preserve">For this chemistry, the most robust </w:t>
      </w:r>
      <w:r w:rsidRPr="00807F1E">
        <w:rPr>
          <w:b/>
          <w:bCs/>
        </w:rPr>
        <w:t>standardization strategy</w:t>
      </w:r>
      <w:r>
        <w:t xml:space="preserve"> is to emphasize discharge-based non-zinc metrics, because the discharge branch is more stable and more representative of recovered usable performance. Charge-side values remain important, but they should be interpreted primarily as insertion and hysteresis indicators rather than as direct surrogates for recovered capability.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D7B99" w14:paraId="055AD297" w14:textId="77777777" w:rsidTr="00807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960" w:type="dxa"/>
            <w:vAlign w:val="center"/>
          </w:tcPr>
          <w:p w14:paraId="190B0E99" w14:textId="77777777" w:rsidR="007D7B99" w:rsidRPr="00807F1E" w:rsidRDefault="00000000" w:rsidP="00807F1E">
            <w:pPr>
              <w:pStyle w:val="Compact"/>
              <w:jc w:val="center"/>
              <w:rPr>
                <w:b/>
                <w:bCs/>
              </w:rPr>
            </w:pPr>
            <w:r w:rsidRPr="00807F1E">
              <w:rPr>
                <w:b/>
                <w:bCs/>
              </w:rPr>
              <w:t>Parameter</w:t>
            </w:r>
          </w:p>
        </w:tc>
        <w:tc>
          <w:tcPr>
            <w:tcW w:w="3960" w:type="dxa"/>
            <w:vAlign w:val="center"/>
          </w:tcPr>
          <w:p w14:paraId="583BB34F" w14:textId="77777777" w:rsidR="007D7B99" w:rsidRPr="00807F1E" w:rsidRDefault="00000000" w:rsidP="00807F1E">
            <w:pPr>
              <w:pStyle w:val="Compact"/>
              <w:jc w:val="center"/>
              <w:rPr>
                <w:b/>
                <w:bCs/>
              </w:rPr>
            </w:pPr>
            <w:r w:rsidRPr="00807F1E">
              <w:rPr>
                <w:b/>
                <w:bCs/>
              </w:rPr>
              <w:t>Recommended reporting basis</w:t>
            </w:r>
          </w:p>
        </w:tc>
      </w:tr>
      <w:tr w:rsidR="007D7B99" w14:paraId="35B1BA7F" w14:textId="77777777" w:rsidTr="00807F1E">
        <w:trPr>
          <w:jc w:val="center"/>
        </w:trPr>
        <w:tc>
          <w:tcPr>
            <w:tcW w:w="3960" w:type="dxa"/>
            <w:vAlign w:val="center"/>
          </w:tcPr>
          <w:p w14:paraId="084DAC1F" w14:textId="4C087F76" w:rsidR="007D7B99" w:rsidRDefault="00000000" w:rsidP="00807F1E">
            <w:pPr>
              <w:pStyle w:val="Compact"/>
              <w:jc w:val="center"/>
            </w:pPr>
            <w:r>
              <w:t>ESR</w:t>
            </w:r>
            <w:r w:rsidR="00376743">
              <w:t xml:space="preserve"> 10ms and ESR 1s</w:t>
            </w:r>
          </w:p>
        </w:tc>
        <w:tc>
          <w:tcPr>
            <w:tcW w:w="3960" w:type="dxa"/>
            <w:vAlign w:val="center"/>
          </w:tcPr>
          <w:p w14:paraId="26D0DCC2" w14:textId="77777777" w:rsidR="007D7B99" w:rsidRDefault="00000000" w:rsidP="00807F1E">
            <w:pPr>
              <w:pStyle w:val="Compact"/>
              <w:jc w:val="center"/>
            </w:pPr>
            <w:r>
              <w:t>Upper and lower current-reversal ESR; report the combined value as the primary ESR metric</w:t>
            </w:r>
          </w:p>
        </w:tc>
      </w:tr>
      <w:tr w:rsidR="007D7B99" w14:paraId="49C40C8E" w14:textId="77777777" w:rsidTr="00807F1E">
        <w:trPr>
          <w:jc w:val="center"/>
        </w:trPr>
        <w:tc>
          <w:tcPr>
            <w:tcW w:w="3960" w:type="dxa"/>
            <w:vAlign w:val="center"/>
          </w:tcPr>
          <w:p w14:paraId="7E4C6091" w14:textId="77777777" w:rsidR="007D7B99" w:rsidRDefault="00000000" w:rsidP="00807F1E">
            <w:pPr>
              <w:pStyle w:val="Compact"/>
              <w:jc w:val="center"/>
            </w:pPr>
            <w:r>
              <w:t>Discharge capacitance</w:t>
            </w:r>
          </w:p>
        </w:tc>
        <w:tc>
          <w:tcPr>
            <w:tcW w:w="3960" w:type="dxa"/>
            <w:vAlign w:val="center"/>
          </w:tcPr>
          <w:p w14:paraId="532190FD" w14:textId="77777777" w:rsidR="007D7B99" w:rsidRDefault="00000000" w:rsidP="00807F1E">
            <w:pPr>
              <w:pStyle w:val="Compact"/>
              <w:jc w:val="center"/>
            </w:pPr>
            <w:r>
              <w:t>Window-defined discharge capacitance in the standard non-zinc window</w:t>
            </w:r>
          </w:p>
        </w:tc>
      </w:tr>
      <w:tr w:rsidR="007D7B99" w14:paraId="01118AE4" w14:textId="77777777" w:rsidTr="00807F1E">
        <w:trPr>
          <w:jc w:val="center"/>
        </w:trPr>
        <w:tc>
          <w:tcPr>
            <w:tcW w:w="3960" w:type="dxa"/>
            <w:vAlign w:val="center"/>
          </w:tcPr>
          <w:p w14:paraId="01228AD7" w14:textId="77777777" w:rsidR="007D7B99" w:rsidRDefault="00000000" w:rsidP="00807F1E">
            <w:pPr>
              <w:pStyle w:val="Compact"/>
              <w:jc w:val="center"/>
            </w:pPr>
            <w:r>
              <w:t>Discharge capacity (Ah)</w:t>
            </w:r>
          </w:p>
        </w:tc>
        <w:tc>
          <w:tcPr>
            <w:tcW w:w="3960" w:type="dxa"/>
            <w:vAlign w:val="center"/>
          </w:tcPr>
          <w:p w14:paraId="2535191F" w14:textId="77777777" w:rsidR="007D7B99" w:rsidRDefault="00000000" w:rsidP="00807F1E">
            <w:pPr>
              <w:pStyle w:val="Compact"/>
              <w:jc w:val="center"/>
            </w:pPr>
            <w:r>
              <w:t>Recovered ampere-hours in the standard non-zinc window</w:t>
            </w:r>
          </w:p>
        </w:tc>
      </w:tr>
      <w:tr w:rsidR="007D7B99" w14:paraId="6A3570E2" w14:textId="77777777" w:rsidTr="00807F1E">
        <w:trPr>
          <w:jc w:val="center"/>
        </w:trPr>
        <w:tc>
          <w:tcPr>
            <w:tcW w:w="3960" w:type="dxa"/>
            <w:vAlign w:val="center"/>
          </w:tcPr>
          <w:p w14:paraId="1909F687" w14:textId="77777777" w:rsidR="007D7B99" w:rsidRDefault="00000000" w:rsidP="00807F1E">
            <w:pPr>
              <w:pStyle w:val="Compact"/>
              <w:jc w:val="center"/>
            </w:pPr>
            <w:r>
              <w:t>Discharge energy (</w:t>
            </w:r>
            <w:proofErr w:type="spellStart"/>
            <w:r>
              <w:t>Wh</w:t>
            </w:r>
            <w:proofErr w:type="spellEnd"/>
            <w:r>
              <w:t>)</w:t>
            </w:r>
          </w:p>
        </w:tc>
        <w:tc>
          <w:tcPr>
            <w:tcW w:w="3960" w:type="dxa"/>
            <w:vAlign w:val="center"/>
          </w:tcPr>
          <w:p w14:paraId="2E4362E3" w14:textId="77777777" w:rsidR="007D7B99" w:rsidRDefault="00000000" w:rsidP="00807F1E">
            <w:pPr>
              <w:pStyle w:val="Compact"/>
              <w:jc w:val="center"/>
            </w:pPr>
            <w:r>
              <w:t>Recovered watt-hours in the standard non-zinc window</w:t>
            </w:r>
          </w:p>
        </w:tc>
      </w:tr>
      <w:tr w:rsidR="007D7B99" w14:paraId="38FC810D" w14:textId="77777777" w:rsidTr="00807F1E">
        <w:trPr>
          <w:jc w:val="center"/>
        </w:trPr>
        <w:tc>
          <w:tcPr>
            <w:tcW w:w="3960" w:type="dxa"/>
            <w:vAlign w:val="center"/>
          </w:tcPr>
          <w:p w14:paraId="1F3886D0" w14:textId="4D1D0A5B" w:rsidR="007D7B99" w:rsidRDefault="00807F1E" w:rsidP="00807F1E">
            <w:pPr>
              <w:pStyle w:val="Compact"/>
              <w:jc w:val="center"/>
            </w:pPr>
            <w:r>
              <w:t xml:space="preserve">Full window </w:t>
            </w:r>
            <w:proofErr w:type="spellStart"/>
            <w:r>
              <w:t>η</w:t>
            </w:r>
            <w:r w:rsidRPr="00807F1E">
              <w:rPr>
                <w:vertAlign w:val="subscript"/>
              </w:rPr>
              <w:t>Q</w:t>
            </w:r>
            <w:proofErr w:type="spellEnd"/>
            <w:r>
              <w:t xml:space="preserve"> and </w:t>
            </w:r>
            <w:proofErr w:type="spellStart"/>
            <w:r>
              <w:t>η</w:t>
            </w:r>
            <w:r w:rsidRPr="00807F1E">
              <w:rPr>
                <w:vertAlign w:val="subscript"/>
              </w:rPr>
              <w:t>E</w:t>
            </w:r>
            <w:proofErr w:type="spellEnd"/>
          </w:p>
        </w:tc>
        <w:tc>
          <w:tcPr>
            <w:tcW w:w="3960" w:type="dxa"/>
            <w:vAlign w:val="center"/>
          </w:tcPr>
          <w:p w14:paraId="5698A4F0" w14:textId="77777777" w:rsidR="007D7B99" w:rsidRDefault="00000000" w:rsidP="00807F1E">
            <w:pPr>
              <w:pStyle w:val="Compact"/>
              <w:jc w:val="center"/>
            </w:pPr>
            <w:r>
              <w:t xml:space="preserve">Terminal efficiencies over the actual full </w:t>
            </w:r>
            <w:r>
              <w:lastRenderedPageBreak/>
              <w:t>non-zinc cycle</w:t>
            </w:r>
          </w:p>
        </w:tc>
      </w:tr>
      <w:tr w:rsidR="007D7B99" w14:paraId="0C4AD893" w14:textId="77777777" w:rsidTr="00807F1E">
        <w:trPr>
          <w:jc w:val="center"/>
        </w:trPr>
        <w:tc>
          <w:tcPr>
            <w:tcW w:w="3960" w:type="dxa"/>
            <w:vAlign w:val="center"/>
          </w:tcPr>
          <w:p w14:paraId="49EF9ED9" w14:textId="5300BF43" w:rsidR="007D7B99" w:rsidRDefault="00807F1E" w:rsidP="00807F1E">
            <w:pPr>
              <w:pStyle w:val="Compact"/>
              <w:jc w:val="center"/>
            </w:pPr>
            <w:r>
              <w:lastRenderedPageBreak/>
              <w:t xml:space="preserve">Common window </w:t>
            </w:r>
            <w:proofErr w:type="spellStart"/>
            <w:r>
              <w:t>η</w:t>
            </w:r>
            <w:r w:rsidRPr="00807F1E">
              <w:rPr>
                <w:vertAlign w:val="subscript"/>
              </w:rPr>
              <w:t>Q</w:t>
            </w:r>
            <w:proofErr w:type="spellEnd"/>
            <w:r>
              <w:t xml:space="preserve"> and </w:t>
            </w:r>
            <w:proofErr w:type="spellStart"/>
            <w:r>
              <w:t>η</w:t>
            </w:r>
            <w:r w:rsidRPr="00807F1E">
              <w:rPr>
                <w:vertAlign w:val="subscript"/>
              </w:rPr>
              <w:t>E</w:t>
            </w:r>
            <w:proofErr w:type="spellEnd"/>
          </w:p>
        </w:tc>
        <w:tc>
          <w:tcPr>
            <w:tcW w:w="3960" w:type="dxa"/>
            <w:vAlign w:val="center"/>
          </w:tcPr>
          <w:p w14:paraId="08ADBD7B" w14:textId="77777777" w:rsidR="007D7B99" w:rsidRDefault="00000000" w:rsidP="00807F1E">
            <w:pPr>
              <w:pStyle w:val="Compact"/>
              <w:jc w:val="center"/>
            </w:pPr>
            <w:r>
              <w:t>Core-window efficiencies after excluding reversal tails</w:t>
            </w:r>
          </w:p>
        </w:tc>
      </w:tr>
      <w:tr w:rsidR="007D7B99" w14:paraId="2F824FB3" w14:textId="77777777" w:rsidTr="00807F1E">
        <w:trPr>
          <w:jc w:val="center"/>
        </w:trPr>
        <w:tc>
          <w:tcPr>
            <w:tcW w:w="3960" w:type="dxa"/>
            <w:vAlign w:val="center"/>
          </w:tcPr>
          <w:p w14:paraId="2E633E6B" w14:textId="77777777" w:rsidR="007D7B99" w:rsidRDefault="00000000" w:rsidP="00807F1E">
            <w:pPr>
              <w:pStyle w:val="Compact"/>
              <w:jc w:val="center"/>
            </w:pPr>
            <w:r>
              <w:t>Window split</w:t>
            </w:r>
          </w:p>
        </w:tc>
        <w:tc>
          <w:tcPr>
            <w:tcW w:w="3960" w:type="dxa"/>
            <w:vAlign w:val="center"/>
          </w:tcPr>
          <w:p w14:paraId="305E5F7F" w14:textId="77777777" w:rsidR="007D7B99" w:rsidRDefault="00000000" w:rsidP="00807F1E">
            <w:pPr>
              <w:pStyle w:val="Compact"/>
              <w:jc w:val="center"/>
            </w:pPr>
            <w:r>
              <w:t xml:space="preserve">Low / mid / upper contributions to Ah and </w:t>
            </w:r>
            <w:proofErr w:type="spellStart"/>
            <w:r>
              <w:t>Wh</w:t>
            </w:r>
            <w:proofErr w:type="spellEnd"/>
            <w:r>
              <w:t xml:space="preserve"> on both charge and discharge</w:t>
            </w:r>
          </w:p>
        </w:tc>
      </w:tr>
      <w:tr w:rsidR="007D7B99" w14:paraId="6C018AE5" w14:textId="77777777" w:rsidTr="00807F1E">
        <w:trPr>
          <w:jc w:val="center"/>
        </w:trPr>
        <w:tc>
          <w:tcPr>
            <w:tcW w:w="3960" w:type="dxa"/>
            <w:vAlign w:val="center"/>
          </w:tcPr>
          <w:p w14:paraId="35384139" w14:textId="77777777" w:rsidR="007D7B99" w:rsidRDefault="00000000" w:rsidP="00807F1E">
            <w:pPr>
              <w:pStyle w:val="Compact"/>
              <w:jc w:val="center"/>
            </w:pPr>
            <w:r>
              <w:t>Asymmetry note</w:t>
            </w:r>
          </w:p>
        </w:tc>
        <w:tc>
          <w:tcPr>
            <w:tcW w:w="3960" w:type="dxa"/>
            <w:vAlign w:val="center"/>
          </w:tcPr>
          <w:p w14:paraId="4A2AEE37" w14:textId="77777777" w:rsidR="007D7B99" w:rsidRDefault="00000000" w:rsidP="00807F1E">
            <w:pPr>
              <w:pStyle w:val="Compact"/>
              <w:jc w:val="center"/>
            </w:pPr>
            <w:r>
              <w:t>Brief qualitative interpretation of forward- vs reverse-branch behavior</w:t>
            </w:r>
          </w:p>
        </w:tc>
      </w:tr>
    </w:tbl>
    <w:p w14:paraId="123A6802" w14:textId="6606B521" w:rsidR="007D7B99" w:rsidRPr="00FA427D" w:rsidRDefault="00000000" w:rsidP="00896AEC">
      <w:pPr>
        <w:pStyle w:val="BodyText"/>
        <w:jc w:val="both"/>
        <w:rPr>
          <w:color w:val="EE0000"/>
        </w:rPr>
      </w:pPr>
      <w:r w:rsidRPr="00FA427D">
        <w:rPr>
          <w:color w:val="EE0000"/>
        </w:rPr>
        <w:t xml:space="preserve">In summary, the upper window is where energy is gained, but it is also where energy efficiency is most strongly penalized. For non-zinc cell sorting and scale-up, the </w:t>
      </w:r>
      <w:r w:rsidR="00086548" w:rsidRPr="00FA427D">
        <w:rPr>
          <w:color w:val="EE0000"/>
        </w:rPr>
        <w:t>technical</w:t>
      </w:r>
      <w:r w:rsidRPr="00FA427D">
        <w:rPr>
          <w:color w:val="EE0000"/>
        </w:rPr>
        <w:t xml:space="preserve"> sound approach is to use a standard current near </w:t>
      </w:r>
      <w:r w:rsidRPr="00FA427D">
        <w:rPr>
          <w:b/>
          <w:bCs/>
          <w:color w:val="EE0000"/>
        </w:rPr>
        <w:t>3.465 A</w:t>
      </w:r>
      <w:r w:rsidRPr="00FA427D">
        <w:rPr>
          <w:color w:val="EE0000"/>
        </w:rPr>
        <w:t xml:space="preserve">, </w:t>
      </w:r>
      <w:r w:rsidR="00807F1E" w:rsidRPr="00FA427D">
        <w:rPr>
          <w:color w:val="EE0000"/>
        </w:rPr>
        <w:t>define</w:t>
      </w:r>
      <w:r w:rsidRPr="00FA427D">
        <w:rPr>
          <w:color w:val="EE0000"/>
        </w:rPr>
        <w:t xml:space="preserve"> the primary ESR metric</w:t>
      </w:r>
      <w:r w:rsidR="00807F1E" w:rsidRPr="00FA427D">
        <w:rPr>
          <w:color w:val="EE0000"/>
        </w:rPr>
        <w:t>s</w:t>
      </w:r>
      <w:r w:rsidRPr="00FA427D">
        <w:rPr>
          <w:color w:val="EE0000"/>
        </w:rPr>
        <w:t xml:space="preserve">, and report discharge-based C / Ah / </w:t>
      </w:r>
      <w:proofErr w:type="spellStart"/>
      <w:r w:rsidRPr="00FA427D">
        <w:rPr>
          <w:color w:val="EE0000"/>
        </w:rPr>
        <w:t>Wh</w:t>
      </w:r>
      <w:proofErr w:type="spellEnd"/>
      <w:r w:rsidRPr="00FA427D">
        <w:rPr>
          <w:color w:val="EE0000"/>
        </w:rPr>
        <w:t xml:space="preserve"> together with both full-window and common-window efficiencies.</w:t>
      </w:r>
      <w:bookmarkEnd w:id="1"/>
      <w:bookmarkEnd w:id="11"/>
      <w:r w:rsidR="00086548" w:rsidRPr="00FA427D">
        <w:rPr>
          <w:color w:val="EE0000"/>
        </w:rPr>
        <w:t xml:space="preserve"> For </w:t>
      </w:r>
      <w:r w:rsidR="00086548" w:rsidRPr="00FA427D">
        <w:rPr>
          <w:b/>
          <w:bCs/>
          <w:color w:val="EE0000"/>
        </w:rPr>
        <w:t>non-zinc-mode</w:t>
      </w:r>
      <w:r w:rsidR="00086548" w:rsidRPr="00FA427D">
        <w:rPr>
          <w:color w:val="EE0000"/>
        </w:rPr>
        <w:t xml:space="preserve"> sorting and comparison, a nominal window near </w:t>
      </w:r>
      <w:r w:rsidR="00086548" w:rsidRPr="00FA427D">
        <w:rPr>
          <w:b/>
          <w:bCs/>
          <w:color w:val="EE0000"/>
        </w:rPr>
        <w:t>0.85–1.55 V at 20 mA·cm</w:t>
      </w:r>
      <w:r w:rsidR="00086548" w:rsidRPr="00FA427D">
        <w:rPr>
          <w:rFonts w:ascii="Cambria Math" w:hAnsi="Cambria Math" w:cs="Cambria Math"/>
          <w:b/>
          <w:bCs/>
          <w:color w:val="EE0000"/>
        </w:rPr>
        <w:t>⁻</w:t>
      </w:r>
      <w:r w:rsidR="00086548" w:rsidRPr="00FA427D">
        <w:rPr>
          <w:rFonts w:ascii="Aptos" w:hAnsi="Aptos" w:cs="Aptos"/>
          <w:b/>
          <w:bCs/>
          <w:color w:val="EE0000"/>
        </w:rPr>
        <w:t>²</w:t>
      </w:r>
      <w:r w:rsidR="00086548" w:rsidRPr="00FA427D">
        <w:rPr>
          <w:color w:val="EE0000"/>
        </w:rPr>
        <w:t xml:space="preserve"> appears to give the best balance between energy inserted and energy recoverable from the cell. Above about </w:t>
      </w:r>
      <w:r w:rsidR="00086548" w:rsidRPr="00FA427D">
        <w:rPr>
          <w:b/>
          <w:bCs/>
          <w:color w:val="EE0000"/>
        </w:rPr>
        <w:t>1.55 V</w:t>
      </w:r>
      <w:r w:rsidR="00086548" w:rsidRPr="00FA427D">
        <w:rPr>
          <w:color w:val="EE0000"/>
        </w:rPr>
        <w:t xml:space="preserve">, the marginal recovered energy falls off progressively, and above about </w:t>
      </w:r>
      <w:r w:rsidR="00086548" w:rsidRPr="00FA427D">
        <w:rPr>
          <w:b/>
          <w:bCs/>
          <w:color w:val="EE0000"/>
        </w:rPr>
        <w:t>1.65 V</w:t>
      </w:r>
      <w:r w:rsidR="00086548" w:rsidRPr="00FA427D">
        <w:rPr>
          <w:color w:val="EE0000"/>
        </w:rPr>
        <w:t xml:space="preserve"> the added charged energy is no longer recovered efficiently enough for use as a primary comparison window.</w:t>
      </w:r>
      <w:r w:rsidR="00CE5C21" w:rsidRPr="00FA427D">
        <w:rPr>
          <w:color w:val="EE0000"/>
        </w:rPr>
        <w:t xml:space="preserve"> Hence, according to the analysis adopting </w:t>
      </w:r>
      <w:r w:rsidR="00CE5C21" w:rsidRPr="00FA427D">
        <w:rPr>
          <w:b/>
          <w:bCs/>
          <w:color w:val="EE0000"/>
        </w:rPr>
        <w:t>3.465 A current</w:t>
      </w:r>
      <w:r w:rsidR="00CE5C21" w:rsidRPr="00FA427D">
        <w:rPr>
          <w:color w:val="EE0000"/>
        </w:rPr>
        <w:t xml:space="preserve"> and a nominal voltage range of </w:t>
      </w:r>
      <w:r w:rsidR="00CE5C21" w:rsidRPr="00FA427D">
        <w:rPr>
          <w:b/>
          <w:bCs/>
          <w:color w:val="EE0000"/>
        </w:rPr>
        <w:t>0.825 V to 1.65 V</w:t>
      </w:r>
      <w:r w:rsidR="00CE5C21" w:rsidRPr="00FA427D">
        <w:rPr>
          <w:color w:val="EE0000"/>
        </w:rPr>
        <w:t xml:space="preserve"> instead of the current 0.85 V to 1.7 V range will keep the same energy as the current Gen-II cells but with higher efficiency</w:t>
      </w:r>
      <w:r w:rsidR="0087148E" w:rsidRPr="00FA427D">
        <w:rPr>
          <w:color w:val="EE0000"/>
        </w:rPr>
        <w:t xml:space="preserve"> (&gt;95%)</w:t>
      </w:r>
      <w:r w:rsidR="00CE5C21" w:rsidRPr="00FA427D">
        <w:rPr>
          <w:color w:val="EE0000"/>
        </w:rPr>
        <w:t xml:space="preserve"> and comparable parameters across different batches.</w:t>
      </w:r>
    </w:p>
    <w:p w14:paraId="4AEBF2D5" w14:textId="61319C00" w:rsidR="00703335" w:rsidRDefault="00703335">
      <w:r>
        <w:br w:type="page"/>
      </w:r>
    </w:p>
    <w:p w14:paraId="473A9A4B" w14:textId="240C2230" w:rsidR="00703335" w:rsidRDefault="00703335" w:rsidP="00395AFE">
      <w:pPr>
        <w:pStyle w:val="TOCHeading"/>
        <w:jc w:val="center"/>
      </w:pPr>
      <w:r>
        <w:lastRenderedPageBreak/>
        <w:t>Appendix A</w:t>
      </w:r>
    </w:p>
    <w:p w14:paraId="4A541252" w14:textId="52F6DB4D" w:rsidR="00703335" w:rsidRDefault="00703335" w:rsidP="00703335">
      <w:pPr>
        <w:pStyle w:val="BodyText"/>
      </w:pPr>
      <w:r>
        <w:t>The cell used for this analysis is a good representative (95</w:t>
      </w:r>
      <w:r w:rsidRPr="00703335">
        <w:rPr>
          <w:vertAlign w:val="superscript"/>
        </w:rPr>
        <w:t>th</w:t>
      </w:r>
      <w:r>
        <w:t xml:space="preserve"> percentile) for the production at Geyser, and </w:t>
      </w:r>
      <w:r w:rsidR="00203EAF">
        <w:t>has</w:t>
      </w:r>
      <w:r>
        <w:t xml:space="preserve"> the following characteristics: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03335" w14:paraId="6EAD79A6" w14:textId="77777777" w:rsidTr="00203EAF">
        <w:tc>
          <w:tcPr>
            <w:tcW w:w="4788" w:type="dxa"/>
            <w:vAlign w:val="center"/>
          </w:tcPr>
          <w:p w14:paraId="31E9522B" w14:textId="2EB12BED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r w:rsidRPr="00203EAF">
              <w:rPr>
                <w:b/>
                <w:bCs/>
              </w:rPr>
              <w:t>Index</w:t>
            </w:r>
          </w:p>
        </w:tc>
        <w:tc>
          <w:tcPr>
            <w:tcW w:w="4788" w:type="dxa"/>
            <w:vAlign w:val="center"/>
          </w:tcPr>
          <w:p w14:paraId="5F021A07" w14:textId="4647DDFC" w:rsidR="00703335" w:rsidRDefault="00703335" w:rsidP="00203EAF">
            <w:pPr>
              <w:pStyle w:val="BodyText"/>
              <w:jc w:val="center"/>
            </w:pPr>
            <w:r>
              <w:t>260206_GO_006</w:t>
            </w:r>
          </w:p>
        </w:tc>
      </w:tr>
      <w:tr w:rsidR="00703335" w14:paraId="15C35F49" w14:textId="77777777" w:rsidTr="00203EAF">
        <w:tc>
          <w:tcPr>
            <w:tcW w:w="4788" w:type="dxa"/>
            <w:vAlign w:val="center"/>
          </w:tcPr>
          <w:p w14:paraId="1020BFDB" w14:textId="6B0125F3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r w:rsidRPr="00203EAF">
              <w:rPr>
                <w:b/>
                <w:bCs/>
              </w:rPr>
              <w:t>Minus</w:t>
            </w:r>
          </w:p>
        </w:tc>
        <w:tc>
          <w:tcPr>
            <w:tcW w:w="4788" w:type="dxa"/>
            <w:vAlign w:val="center"/>
          </w:tcPr>
          <w:p w14:paraId="536CF36C" w14:textId="10218351" w:rsidR="00703335" w:rsidRDefault="00703335" w:rsidP="00203EAF">
            <w:pPr>
              <w:pStyle w:val="BodyText"/>
              <w:jc w:val="center"/>
            </w:pPr>
            <w:r>
              <w:t>M68</w:t>
            </w:r>
          </w:p>
        </w:tc>
      </w:tr>
      <w:tr w:rsidR="00703335" w14:paraId="5AB93D22" w14:textId="77777777" w:rsidTr="00203EAF">
        <w:tc>
          <w:tcPr>
            <w:tcW w:w="4788" w:type="dxa"/>
            <w:vAlign w:val="center"/>
          </w:tcPr>
          <w:p w14:paraId="032B4053" w14:textId="65156B0C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r w:rsidRPr="00203EAF">
              <w:rPr>
                <w:b/>
                <w:bCs/>
              </w:rPr>
              <w:t>Plus</w:t>
            </w:r>
          </w:p>
        </w:tc>
        <w:tc>
          <w:tcPr>
            <w:tcW w:w="4788" w:type="dxa"/>
            <w:vAlign w:val="center"/>
          </w:tcPr>
          <w:p w14:paraId="2D4F6A99" w14:textId="710A221E" w:rsidR="00703335" w:rsidRDefault="00703335" w:rsidP="00203EAF">
            <w:pPr>
              <w:pStyle w:val="BodyText"/>
              <w:jc w:val="center"/>
            </w:pPr>
            <w:r>
              <w:t>M34</w:t>
            </w:r>
          </w:p>
        </w:tc>
      </w:tr>
      <w:tr w:rsidR="00703335" w14:paraId="12B9A5E4" w14:textId="77777777" w:rsidTr="00203EAF">
        <w:tc>
          <w:tcPr>
            <w:tcW w:w="4788" w:type="dxa"/>
            <w:vAlign w:val="center"/>
          </w:tcPr>
          <w:p w14:paraId="0F6B321F" w14:textId="55C8402D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proofErr w:type="spellStart"/>
            <w:r w:rsidRPr="00203EAF">
              <w:rPr>
                <w:b/>
                <w:bCs/>
              </w:rPr>
              <w:t>Cell_ratio</w:t>
            </w:r>
            <w:proofErr w:type="spellEnd"/>
          </w:p>
        </w:tc>
        <w:tc>
          <w:tcPr>
            <w:tcW w:w="4788" w:type="dxa"/>
            <w:vAlign w:val="center"/>
          </w:tcPr>
          <w:p w14:paraId="1E6E90E7" w14:textId="1C146DB2" w:rsidR="00703335" w:rsidRDefault="00703335" w:rsidP="00203EAF">
            <w:pPr>
              <w:pStyle w:val="BodyText"/>
              <w:jc w:val="center"/>
            </w:pPr>
            <w:r>
              <w:t>0.689933259</w:t>
            </w:r>
          </w:p>
        </w:tc>
      </w:tr>
      <w:tr w:rsidR="00703335" w14:paraId="420616D0" w14:textId="77777777" w:rsidTr="00203EAF">
        <w:tc>
          <w:tcPr>
            <w:tcW w:w="4788" w:type="dxa"/>
            <w:vAlign w:val="center"/>
          </w:tcPr>
          <w:p w14:paraId="771DE99A" w14:textId="517523D2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proofErr w:type="spellStart"/>
            <w:r w:rsidRPr="00203EAF">
              <w:rPr>
                <w:b/>
                <w:bCs/>
              </w:rPr>
              <w:t>Average_ratio</w:t>
            </w:r>
            <w:proofErr w:type="spellEnd"/>
          </w:p>
        </w:tc>
        <w:tc>
          <w:tcPr>
            <w:tcW w:w="4788" w:type="dxa"/>
            <w:vAlign w:val="center"/>
          </w:tcPr>
          <w:p w14:paraId="5197A79D" w14:textId="31FC2DCA" w:rsidR="00703335" w:rsidRDefault="00703335" w:rsidP="00203EAF">
            <w:pPr>
              <w:pStyle w:val="BodyText"/>
              <w:jc w:val="center"/>
            </w:pPr>
            <w:r>
              <w:t>0.71572071</w:t>
            </w:r>
          </w:p>
        </w:tc>
      </w:tr>
      <w:tr w:rsidR="00703335" w14:paraId="04B834A8" w14:textId="77777777" w:rsidTr="00203EAF">
        <w:tc>
          <w:tcPr>
            <w:tcW w:w="4788" w:type="dxa"/>
            <w:vAlign w:val="center"/>
          </w:tcPr>
          <w:p w14:paraId="7EA60F29" w14:textId="30908044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r w:rsidRPr="00203EAF">
              <w:rPr>
                <w:b/>
                <w:bCs/>
              </w:rPr>
              <w:t>Deviation_%</w:t>
            </w:r>
          </w:p>
        </w:tc>
        <w:tc>
          <w:tcPr>
            <w:tcW w:w="4788" w:type="dxa"/>
            <w:vAlign w:val="center"/>
          </w:tcPr>
          <w:p w14:paraId="43A0A3C9" w14:textId="152AC1F7" w:rsidR="00703335" w:rsidRDefault="00703335" w:rsidP="00203EAF">
            <w:pPr>
              <w:pStyle w:val="BodyText"/>
              <w:jc w:val="center"/>
            </w:pPr>
            <w:r>
              <w:t>-3.603004682</w:t>
            </w:r>
          </w:p>
        </w:tc>
      </w:tr>
      <w:tr w:rsidR="00703335" w14:paraId="689217DF" w14:textId="77777777" w:rsidTr="00203EAF">
        <w:tc>
          <w:tcPr>
            <w:tcW w:w="4788" w:type="dxa"/>
            <w:vAlign w:val="center"/>
          </w:tcPr>
          <w:p w14:paraId="29C8D452" w14:textId="3B2326DE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proofErr w:type="spellStart"/>
            <w:r w:rsidRPr="00203EAF">
              <w:rPr>
                <w:b/>
                <w:bCs/>
              </w:rPr>
              <w:t>Plus_m</w:t>
            </w:r>
            <w:proofErr w:type="spellEnd"/>
            <w:r w:rsidRPr="00203EAF">
              <w:rPr>
                <w:b/>
                <w:bCs/>
              </w:rPr>
              <w:t>, g</w:t>
            </w:r>
          </w:p>
        </w:tc>
        <w:tc>
          <w:tcPr>
            <w:tcW w:w="4788" w:type="dxa"/>
            <w:vAlign w:val="center"/>
          </w:tcPr>
          <w:p w14:paraId="1886059D" w14:textId="14E6C888" w:rsidR="00703335" w:rsidRDefault="00703335" w:rsidP="00203EAF">
            <w:pPr>
              <w:pStyle w:val="BodyText"/>
              <w:jc w:val="center"/>
            </w:pPr>
            <w:r>
              <w:t>2.29722222</w:t>
            </w:r>
          </w:p>
        </w:tc>
      </w:tr>
      <w:tr w:rsidR="00703335" w14:paraId="3B2E7E9E" w14:textId="77777777" w:rsidTr="00203EAF">
        <w:tc>
          <w:tcPr>
            <w:tcW w:w="4788" w:type="dxa"/>
            <w:vAlign w:val="center"/>
          </w:tcPr>
          <w:p w14:paraId="47AABCEC" w14:textId="2B8B7144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proofErr w:type="spellStart"/>
            <w:r w:rsidRPr="00203EAF">
              <w:rPr>
                <w:b/>
                <w:bCs/>
              </w:rPr>
              <w:t>Minus_m</w:t>
            </w:r>
            <w:proofErr w:type="spellEnd"/>
            <w:r w:rsidRPr="00203EAF">
              <w:rPr>
                <w:b/>
                <w:bCs/>
              </w:rPr>
              <w:t>, g</w:t>
            </w:r>
          </w:p>
        </w:tc>
        <w:tc>
          <w:tcPr>
            <w:tcW w:w="4788" w:type="dxa"/>
            <w:vAlign w:val="center"/>
          </w:tcPr>
          <w:p w14:paraId="7C1E8DAF" w14:textId="713D76C4" w:rsidR="00703335" w:rsidRDefault="00703335" w:rsidP="00203EAF">
            <w:pPr>
              <w:pStyle w:val="BodyText"/>
              <w:jc w:val="center"/>
            </w:pPr>
            <w:r>
              <w:t>3.32962963</w:t>
            </w:r>
          </w:p>
        </w:tc>
      </w:tr>
      <w:tr w:rsidR="00703335" w14:paraId="2D25DB6B" w14:textId="77777777" w:rsidTr="00203EAF">
        <w:tc>
          <w:tcPr>
            <w:tcW w:w="4788" w:type="dxa"/>
            <w:vAlign w:val="center"/>
          </w:tcPr>
          <w:p w14:paraId="01BC399C" w14:textId="3FD5524C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proofErr w:type="spellStart"/>
            <w:r w:rsidRPr="00203EAF">
              <w:rPr>
                <w:b/>
                <w:bCs/>
              </w:rPr>
              <w:t>Cell_mass</w:t>
            </w:r>
            <w:proofErr w:type="spellEnd"/>
            <w:r w:rsidRPr="00203EAF">
              <w:rPr>
                <w:b/>
                <w:bCs/>
              </w:rPr>
              <w:t>, g</w:t>
            </w:r>
          </w:p>
        </w:tc>
        <w:tc>
          <w:tcPr>
            <w:tcW w:w="4788" w:type="dxa"/>
            <w:vAlign w:val="center"/>
          </w:tcPr>
          <w:p w14:paraId="2CFAD0B8" w14:textId="000B9A89" w:rsidR="00703335" w:rsidRDefault="00703335" w:rsidP="00203EAF">
            <w:pPr>
              <w:pStyle w:val="BodyText"/>
              <w:jc w:val="center"/>
            </w:pPr>
            <w:r>
              <w:t>34.39</w:t>
            </w:r>
          </w:p>
        </w:tc>
      </w:tr>
      <w:tr w:rsidR="00703335" w14:paraId="63A6C56C" w14:textId="77777777" w:rsidTr="00203EAF">
        <w:tc>
          <w:tcPr>
            <w:tcW w:w="4788" w:type="dxa"/>
            <w:vAlign w:val="center"/>
          </w:tcPr>
          <w:p w14:paraId="205F67AC" w14:textId="15D3AA51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r w:rsidRPr="00203EAF">
              <w:rPr>
                <w:b/>
                <w:bCs/>
              </w:rPr>
              <w:t xml:space="preserve">Resistance, </w:t>
            </w:r>
            <w:proofErr w:type="spellStart"/>
            <w:r w:rsidRPr="00203EAF">
              <w:rPr>
                <w:b/>
                <w:bCs/>
              </w:rPr>
              <w:t>mohms</w:t>
            </w:r>
            <w:proofErr w:type="spellEnd"/>
          </w:p>
        </w:tc>
        <w:tc>
          <w:tcPr>
            <w:tcW w:w="4788" w:type="dxa"/>
            <w:vAlign w:val="center"/>
          </w:tcPr>
          <w:p w14:paraId="0718F61F" w14:textId="223D8EBA" w:rsidR="00703335" w:rsidRDefault="00703335" w:rsidP="00203EAF">
            <w:pPr>
              <w:pStyle w:val="BodyText"/>
              <w:jc w:val="center"/>
            </w:pPr>
            <w:r>
              <w:t>5.199</w:t>
            </w:r>
          </w:p>
        </w:tc>
      </w:tr>
      <w:tr w:rsidR="00703335" w14:paraId="0766DD0A" w14:textId="77777777" w:rsidTr="00203EAF">
        <w:tc>
          <w:tcPr>
            <w:tcW w:w="4788" w:type="dxa"/>
            <w:vAlign w:val="center"/>
          </w:tcPr>
          <w:p w14:paraId="0FF0A8FD" w14:textId="03D7F2CC" w:rsidR="00703335" w:rsidRPr="00203EAF" w:rsidRDefault="00703335" w:rsidP="00203EAF">
            <w:pPr>
              <w:pStyle w:val="BodyText"/>
              <w:jc w:val="center"/>
              <w:rPr>
                <w:b/>
                <w:bCs/>
              </w:rPr>
            </w:pPr>
            <w:r w:rsidRPr="00203EAF">
              <w:rPr>
                <w:b/>
                <w:bCs/>
              </w:rPr>
              <w:t xml:space="preserve">Specific Discharge Energy, </w:t>
            </w:r>
            <w:proofErr w:type="spellStart"/>
            <w:r w:rsidRPr="00203EAF">
              <w:rPr>
                <w:b/>
                <w:bCs/>
              </w:rPr>
              <w:t>Wh</w:t>
            </w:r>
            <w:proofErr w:type="spellEnd"/>
            <w:r w:rsidRPr="00203EAF">
              <w:rPr>
                <w:b/>
                <w:bCs/>
              </w:rPr>
              <w:t>/g</w:t>
            </w:r>
          </w:p>
        </w:tc>
        <w:tc>
          <w:tcPr>
            <w:tcW w:w="4788" w:type="dxa"/>
            <w:vAlign w:val="center"/>
          </w:tcPr>
          <w:p w14:paraId="1E8FA2D7" w14:textId="6323E455" w:rsidR="00703335" w:rsidRDefault="00703335" w:rsidP="00203EAF">
            <w:pPr>
              <w:pStyle w:val="BodyText"/>
              <w:jc w:val="center"/>
            </w:pPr>
            <w:r>
              <w:t>0.0267297</w:t>
            </w:r>
          </w:p>
        </w:tc>
      </w:tr>
    </w:tbl>
    <w:p w14:paraId="0B406ADE" w14:textId="498339FA" w:rsidR="00703335" w:rsidRDefault="00703335" w:rsidP="00703335">
      <w:pPr>
        <w:pStyle w:val="BodyText"/>
      </w:pPr>
    </w:p>
    <w:sectPr w:rsidR="0070333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0082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2A06164"/>
    <w:multiLevelType w:val="multilevel"/>
    <w:tmpl w:val="F5E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E2481"/>
    <w:multiLevelType w:val="multilevel"/>
    <w:tmpl w:val="3FA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23277"/>
    <w:multiLevelType w:val="hybridMultilevel"/>
    <w:tmpl w:val="C568C6B0"/>
    <w:lvl w:ilvl="0" w:tplc="CF2EA47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987624">
    <w:abstractNumId w:val="0"/>
  </w:num>
  <w:num w:numId="2" w16cid:durableId="92868440">
    <w:abstractNumId w:val="3"/>
  </w:num>
  <w:num w:numId="3" w16cid:durableId="1292637352">
    <w:abstractNumId w:val="2"/>
  </w:num>
  <w:num w:numId="4" w16cid:durableId="1947343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B99"/>
    <w:rsid w:val="00012E7C"/>
    <w:rsid w:val="00086548"/>
    <w:rsid w:val="000A7859"/>
    <w:rsid w:val="000C0D11"/>
    <w:rsid w:val="00203EAF"/>
    <w:rsid w:val="00207A27"/>
    <w:rsid w:val="002C1C0B"/>
    <w:rsid w:val="002C6524"/>
    <w:rsid w:val="002E6AE5"/>
    <w:rsid w:val="003341B2"/>
    <w:rsid w:val="00376743"/>
    <w:rsid w:val="00395AFE"/>
    <w:rsid w:val="004223C8"/>
    <w:rsid w:val="004334C7"/>
    <w:rsid w:val="00434001"/>
    <w:rsid w:val="0044095E"/>
    <w:rsid w:val="00502D24"/>
    <w:rsid w:val="005335CA"/>
    <w:rsid w:val="00570BEE"/>
    <w:rsid w:val="005B4160"/>
    <w:rsid w:val="006013A6"/>
    <w:rsid w:val="006B0673"/>
    <w:rsid w:val="00703335"/>
    <w:rsid w:val="0072060D"/>
    <w:rsid w:val="00744531"/>
    <w:rsid w:val="007D7B99"/>
    <w:rsid w:val="00807F1E"/>
    <w:rsid w:val="0087148E"/>
    <w:rsid w:val="008717B1"/>
    <w:rsid w:val="00896AEC"/>
    <w:rsid w:val="00914E26"/>
    <w:rsid w:val="00944C74"/>
    <w:rsid w:val="00982381"/>
    <w:rsid w:val="009B0372"/>
    <w:rsid w:val="009D667A"/>
    <w:rsid w:val="00A24463"/>
    <w:rsid w:val="00A5164D"/>
    <w:rsid w:val="00A70C77"/>
    <w:rsid w:val="00AA7127"/>
    <w:rsid w:val="00AB577B"/>
    <w:rsid w:val="00C42A33"/>
    <w:rsid w:val="00C70B65"/>
    <w:rsid w:val="00CD6B27"/>
    <w:rsid w:val="00CE5C21"/>
    <w:rsid w:val="00D404FE"/>
    <w:rsid w:val="00D91732"/>
    <w:rsid w:val="00DE113F"/>
    <w:rsid w:val="00EA1AEB"/>
    <w:rsid w:val="00EE679F"/>
    <w:rsid w:val="00F2166E"/>
    <w:rsid w:val="00F23565"/>
    <w:rsid w:val="00FA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9746"/>
  <w15:docId w15:val="{A77A0E52-C579-4484-B071-C6F7882E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70333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7CA63-B6FE-4251-AFD2-480E66EC3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11</Pages>
  <Words>2224</Words>
  <Characters>12679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Zawar Qureshi</cp:lastModifiedBy>
  <cp:revision>49</cp:revision>
  <dcterms:created xsi:type="dcterms:W3CDTF">2026-03-11T10:58:00Z</dcterms:created>
  <dcterms:modified xsi:type="dcterms:W3CDTF">2026-03-11T13:48:00Z</dcterms:modified>
</cp:coreProperties>
</file>