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62DF" w:rsidRDefault="00E56426">
      <w:pPr>
        <w:shd w:val="clear" w:color="auto" w:fill="36221C"/>
        <w:spacing w:before="1400"/>
        <w:jc w:val="center"/>
      </w:pPr>
      <w:bookmarkStart w:id="0" w:name="_GoBack"/>
      <w:bookmarkEnd w:id="0"/>
      <w:r>
        <w:rPr>
          <w:b/>
          <w:bCs/>
          <w:color w:val="FFFFFF"/>
          <w:sz w:val="42"/>
          <w:szCs w:val="42"/>
        </w:rPr>
        <w:t xml:space="preserve">  PROPERTY AND RENT CONSULT  </w:t>
      </w:r>
    </w:p>
    <w:p w:rsidR="003C62DF" w:rsidRDefault="00E56426">
      <w:pPr>
        <w:shd w:val="clear" w:color="auto" w:fill="516984"/>
        <w:jc w:val="center"/>
      </w:pPr>
      <w:r>
        <w:rPr>
          <w:b/>
          <w:bCs/>
          <w:caps/>
          <w:color w:val="FFFFFF"/>
          <w:sz w:val="26"/>
          <w:szCs w:val="26"/>
        </w:rPr>
        <w:t xml:space="preserve">  WEBSITE MASTER BRIEF  </w:t>
      </w:r>
    </w:p>
    <w:p w:rsidR="003C62DF" w:rsidRDefault="00E56426">
      <w:pPr>
        <w:shd w:val="clear" w:color="auto" w:fill="F4F1EC"/>
        <w:spacing w:after="360"/>
        <w:jc w:val="center"/>
      </w:pPr>
      <w:r>
        <w:rPr>
          <w:i/>
          <w:iCs/>
          <w:color w:val="36221C"/>
          <w:sz w:val="20"/>
          <w:szCs w:val="20"/>
        </w:rPr>
        <w:t xml:space="preserve">  Sitemap · Page-by-Page Content Briefs · Homepage Copy · SEO Editorial Plan  </w:t>
      </w:r>
    </w:p>
    <w:p w:rsidR="003C62DF" w:rsidRDefault="00E56426">
      <w:pPr>
        <w:spacing w:after="60"/>
        <w:jc w:val="center"/>
      </w:pPr>
      <w:r>
        <w:rPr>
          <w:color w:val="63645A"/>
          <w:sz w:val="20"/>
          <w:szCs w:val="20"/>
        </w:rPr>
        <w:t>Document Ref: PRC-WEB-BRF-2026-01</w:t>
      </w:r>
    </w:p>
    <w:p w:rsidR="003C62DF" w:rsidRDefault="00E56426">
      <w:pPr>
        <w:spacing w:after="60"/>
        <w:jc w:val="center"/>
      </w:pPr>
      <w:r>
        <w:rPr>
          <w:color w:val="63645A"/>
          <w:sz w:val="20"/>
          <w:szCs w:val="20"/>
        </w:rPr>
        <w:t>Prepared for: Property and Rent Consult (PRC), Accra, Ghana</w:t>
      </w:r>
    </w:p>
    <w:p w:rsidR="003C62DF" w:rsidRDefault="00E56426">
      <w:pPr>
        <w:spacing w:after="60"/>
        <w:jc w:val="center"/>
      </w:pPr>
      <w:r>
        <w:rPr>
          <w:color w:val="63645A"/>
          <w:sz w:val="20"/>
          <w:szCs w:val="20"/>
        </w:rPr>
        <w:t>Date: 11 June 2026</w:t>
      </w:r>
    </w:p>
    <w:p w:rsidR="003C62DF" w:rsidRDefault="00E56426">
      <w:pPr>
        <w:spacing w:after="400"/>
        <w:jc w:val="center"/>
      </w:pPr>
      <w:r>
        <w:rPr>
          <w:i/>
          <w:iCs/>
          <w:color w:val="516984"/>
          <w:sz w:val="20"/>
          <w:szCs w:val="20"/>
        </w:rPr>
        <w:t>Tagline: Trusted Guidance in Property &amp; Tenancy</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62DF">
        <w:tblPrEx>
          <w:tblCellMar>
            <w:top w:w="0" w:type="dxa"/>
            <w:bottom w:w="0" w:type="dxa"/>
          </w:tblCellMar>
        </w:tblPrEx>
        <w:tc>
          <w:tcPr>
            <w:tcW w:w="9360" w:type="dxa"/>
            <w:tcBorders>
              <w:top w:val="single" w:sz="1" w:space="0" w:color="C9C2B8"/>
              <w:left w:val="single" w:sz="24" w:space="0" w:color="516984"/>
              <w:bottom w:val="single" w:sz="1" w:space="0" w:color="C9C2B8"/>
              <w:right w:val="single" w:sz="1" w:space="0" w:color="C9C2B8"/>
            </w:tcBorders>
            <w:shd w:val="clear" w:color="auto" w:fill="F4F1EC"/>
            <w:tcMar>
              <w:top w:w="120" w:type="dxa"/>
              <w:left w:w="160" w:type="dxa"/>
              <w:bottom w:w="120" w:type="dxa"/>
              <w:right w:w="160" w:type="dxa"/>
            </w:tcMar>
          </w:tcPr>
          <w:p w:rsidR="003C62DF" w:rsidRDefault="00E56426">
            <w:pPr>
              <w:spacing w:line="290" w:lineRule="auto"/>
            </w:pPr>
            <w:r>
              <w:rPr>
                <w:color w:val="36221C"/>
                <w:sz w:val="21"/>
                <w:szCs w:val="21"/>
              </w:rPr>
              <w:t>Governing principle: PRC never showcases properties. The website sells the knowledge, documents, and tools that make property transactions safe — grounded in the Rent Act, 1963 (Act 220) and the Rent Regulati</w:t>
            </w:r>
            <w:r>
              <w:rPr>
                <w:color w:val="36221C"/>
                <w:sz w:val="21"/>
                <w:szCs w:val="21"/>
              </w:rPr>
              <w:t>ons, 1964 (L.I. 369). The brand remains faceless and institutional: the website speaks as “PRC advises…”, never in a personal voice.</w:t>
            </w:r>
          </w:p>
        </w:tc>
      </w:tr>
    </w:tbl>
    <w:p w:rsidR="003C62DF" w:rsidRDefault="00E56426">
      <w:r>
        <w:br w:type="page"/>
      </w:r>
    </w:p>
    <w:p w:rsidR="003C62DF" w:rsidRDefault="00E56426">
      <w:pPr>
        <w:pStyle w:val="Heading1"/>
        <w:pBdr>
          <w:bottom w:val="single" w:sz="8" w:space="2" w:color="516984"/>
        </w:pBdr>
      </w:pPr>
      <w:r>
        <w:lastRenderedPageBreak/>
        <w:t>Part A — Full Sitemap</w:t>
      </w:r>
    </w:p>
    <w:p w:rsidR="003C62DF" w:rsidRDefault="00E56426">
      <w:pPr>
        <w:spacing w:after="140" w:line="300" w:lineRule="auto"/>
        <w:jc w:val="both"/>
      </w:pPr>
      <w:r>
        <w:rPr>
          <w:color w:val="1A1A1A"/>
        </w:rPr>
        <w:t>The architecture follows the agreed seven-section structure, extended with the legal and utility pages a commercial site requires. Every URL is lowercase, hyphenated, and stable — URLs are an SEO asset and must never change once indexed.</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2300"/>
        <w:gridCol w:w="3000"/>
        <w:gridCol w:w="3500"/>
      </w:tblGrid>
      <w:tr w:rsidR="003C62DF">
        <w:tblPrEx>
          <w:tblCellMar>
            <w:top w:w="0" w:type="dxa"/>
            <w:bottom w:w="0" w:type="dxa"/>
          </w:tblCellMar>
        </w:tblPrEx>
        <w:tc>
          <w:tcPr>
            <w:tcW w:w="560" w:type="dxa"/>
            <w:tcBorders>
              <w:top w:val="single" w:sz="1" w:space="0" w:color="C9C2B8"/>
              <w:left w:val="single" w:sz="1" w:space="0" w:color="C9C2B8"/>
              <w:bottom w:val="single" w:sz="1" w:space="0" w:color="C9C2B8"/>
              <w:right w:val="single" w:sz="1" w:space="0" w:color="C9C2B8"/>
            </w:tcBorders>
            <w:shd w:val="clear" w:color="auto" w:fill="36221C"/>
            <w:tcMar>
              <w:top w:w="80" w:type="dxa"/>
              <w:left w:w="120" w:type="dxa"/>
              <w:bottom w:w="80" w:type="dxa"/>
              <w:right w:w="120" w:type="dxa"/>
            </w:tcMar>
          </w:tcPr>
          <w:p w:rsidR="003C62DF" w:rsidRDefault="00E56426">
            <w:pPr>
              <w:spacing w:line="270" w:lineRule="auto"/>
            </w:pPr>
            <w:r>
              <w:rPr>
                <w:b/>
                <w:bCs/>
                <w:color w:val="FFFFFF"/>
                <w:sz w:val="20"/>
                <w:szCs w:val="20"/>
              </w:rPr>
              <w:t>#</w:t>
            </w:r>
          </w:p>
        </w:tc>
        <w:tc>
          <w:tcPr>
            <w:tcW w:w="2300" w:type="dxa"/>
            <w:tcBorders>
              <w:top w:val="single" w:sz="1" w:space="0" w:color="C9C2B8"/>
              <w:left w:val="single" w:sz="1" w:space="0" w:color="C9C2B8"/>
              <w:bottom w:val="single" w:sz="1" w:space="0" w:color="C9C2B8"/>
              <w:right w:val="single" w:sz="1" w:space="0" w:color="C9C2B8"/>
            </w:tcBorders>
            <w:shd w:val="clear" w:color="auto" w:fill="36221C"/>
            <w:tcMar>
              <w:top w:w="80" w:type="dxa"/>
              <w:left w:w="120" w:type="dxa"/>
              <w:bottom w:w="80" w:type="dxa"/>
              <w:right w:w="120" w:type="dxa"/>
            </w:tcMar>
          </w:tcPr>
          <w:p w:rsidR="003C62DF" w:rsidRDefault="00E56426">
            <w:pPr>
              <w:spacing w:line="270" w:lineRule="auto"/>
            </w:pPr>
            <w:r>
              <w:rPr>
                <w:b/>
                <w:bCs/>
                <w:color w:val="FFFFFF"/>
                <w:sz w:val="20"/>
                <w:szCs w:val="20"/>
              </w:rPr>
              <w:t>Page</w:t>
            </w:r>
          </w:p>
        </w:tc>
        <w:tc>
          <w:tcPr>
            <w:tcW w:w="3000" w:type="dxa"/>
            <w:tcBorders>
              <w:top w:val="single" w:sz="1" w:space="0" w:color="C9C2B8"/>
              <w:left w:val="single" w:sz="1" w:space="0" w:color="C9C2B8"/>
              <w:bottom w:val="single" w:sz="1" w:space="0" w:color="C9C2B8"/>
              <w:right w:val="single" w:sz="1" w:space="0" w:color="C9C2B8"/>
            </w:tcBorders>
            <w:shd w:val="clear" w:color="auto" w:fill="36221C"/>
            <w:tcMar>
              <w:top w:w="80" w:type="dxa"/>
              <w:left w:w="120" w:type="dxa"/>
              <w:bottom w:w="80" w:type="dxa"/>
              <w:right w:w="120" w:type="dxa"/>
            </w:tcMar>
          </w:tcPr>
          <w:p w:rsidR="003C62DF" w:rsidRDefault="00E56426">
            <w:pPr>
              <w:spacing w:line="270" w:lineRule="auto"/>
            </w:pPr>
            <w:r>
              <w:rPr>
                <w:b/>
                <w:bCs/>
                <w:color w:val="FFFFFF"/>
                <w:sz w:val="20"/>
                <w:szCs w:val="20"/>
              </w:rPr>
              <w:t>URL</w:t>
            </w:r>
          </w:p>
        </w:tc>
        <w:tc>
          <w:tcPr>
            <w:tcW w:w="3500" w:type="dxa"/>
            <w:tcBorders>
              <w:top w:val="single" w:sz="1" w:space="0" w:color="C9C2B8"/>
              <w:left w:val="single" w:sz="1" w:space="0" w:color="C9C2B8"/>
              <w:bottom w:val="single" w:sz="1" w:space="0" w:color="C9C2B8"/>
              <w:right w:val="single" w:sz="1" w:space="0" w:color="C9C2B8"/>
            </w:tcBorders>
            <w:shd w:val="clear" w:color="auto" w:fill="36221C"/>
            <w:tcMar>
              <w:top w:w="80" w:type="dxa"/>
              <w:left w:w="120" w:type="dxa"/>
              <w:bottom w:w="80" w:type="dxa"/>
              <w:right w:w="120" w:type="dxa"/>
            </w:tcMar>
          </w:tcPr>
          <w:p w:rsidR="003C62DF" w:rsidRDefault="00E56426">
            <w:pPr>
              <w:spacing w:line="270" w:lineRule="auto"/>
            </w:pPr>
            <w:r>
              <w:rPr>
                <w:b/>
                <w:bCs/>
                <w:color w:val="FFFFFF"/>
                <w:sz w:val="20"/>
                <w:szCs w:val="20"/>
              </w:rPr>
              <w:t>Primary job</w:t>
            </w:r>
          </w:p>
        </w:tc>
      </w:tr>
      <w:tr w:rsidR="003C62DF">
        <w:tblPrEx>
          <w:tblCellMar>
            <w:top w:w="0" w:type="dxa"/>
            <w:bottom w:w="0" w:type="dxa"/>
          </w:tblCellMar>
        </w:tblPrEx>
        <w:tc>
          <w:tcPr>
            <w:tcW w:w="5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1</w:t>
            </w:r>
          </w:p>
        </w:tc>
        <w:tc>
          <w:tcPr>
            <w:tcW w:w="23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Home</w:t>
            </w:r>
          </w:p>
        </w:tc>
        <w:tc>
          <w:tcPr>
            <w:tcW w:w="30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w:t>
            </w:r>
          </w:p>
        </w:tc>
        <w:tc>
          <w:tcPr>
            <w:tcW w:w="35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Route the three audiences; establish authority; convert to product, consultation, or email list</w:t>
            </w:r>
          </w:p>
        </w:tc>
      </w:tr>
      <w:tr w:rsidR="003C62DF">
        <w:tblPrEx>
          <w:tblCellMar>
            <w:top w:w="0" w:type="dxa"/>
            <w:bottom w:w="0" w:type="dxa"/>
          </w:tblCellMar>
        </w:tblPrEx>
        <w:tc>
          <w:tcPr>
            <w:tcW w:w="5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1.1</w:t>
            </w:r>
          </w:p>
        </w:tc>
        <w:tc>
          <w:tcPr>
            <w:tcW w:w="23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Lead magnet landing</w:t>
            </w:r>
          </w:p>
        </w:tc>
        <w:tc>
          <w:tcPr>
            <w:tcW w:w="30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/free/tenant-rights-guide/</w:t>
            </w:r>
          </w:p>
        </w:tc>
        <w:tc>
          <w:tcPr>
            <w:tcW w:w="35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Exchange the Tenant's Rights Pocket Guide PDF for an email address</w:t>
            </w:r>
          </w:p>
        </w:tc>
      </w:tr>
      <w:tr w:rsidR="003C62DF">
        <w:tblPrEx>
          <w:tblCellMar>
            <w:top w:w="0" w:type="dxa"/>
            <w:bottom w:w="0" w:type="dxa"/>
          </w:tblCellMar>
        </w:tblPrEx>
        <w:tc>
          <w:tcPr>
            <w:tcW w:w="5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2</w:t>
            </w:r>
          </w:p>
        </w:tc>
        <w:tc>
          <w:tcPr>
            <w:tcW w:w="23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Knowledge Hub</w:t>
            </w:r>
          </w:p>
        </w:tc>
        <w:tc>
          <w:tcPr>
            <w:tcW w:w="30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/knowledge/</w:t>
            </w:r>
          </w:p>
        </w:tc>
        <w:tc>
          <w:tcPr>
            <w:tcW w:w="35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Blog index; organic search entry point and internal-link hub</w:t>
            </w:r>
          </w:p>
        </w:tc>
      </w:tr>
      <w:tr w:rsidR="003C62DF">
        <w:tblPrEx>
          <w:tblCellMar>
            <w:top w:w="0" w:type="dxa"/>
            <w:bottom w:w="0" w:type="dxa"/>
          </w:tblCellMar>
        </w:tblPrEx>
        <w:tc>
          <w:tcPr>
            <w:tcW w:w="5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2.1</w:t>
            </w:r>
          </w:p>
        </w:tc>
        <w:tc>
          <w:tcPr>
            <w:tcW w:w="23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Article pages</w:t>
            </w:r>
          </w:p>
        </w:tc>
        <w:tc>
          <w:tcPr>
            <w:tcW w:w="30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/knowledge/[slug]/</w:t>
            </w:r>
          </w:p>
        </w:tc>
        <w:tc>
          <w:tcPr>
            <w:tcW w:w="35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Rank for Ghana rent/tenancy queries; funnel to products and consultations</w:t>
            </w:r>
          </w:p>
        </w:tc>
      </w:tr>
      <w:tr w:rsidR="003C62DF">
        <w:tblPrEx>
          <w:tblCellMar>
            <w:top w:w="0" w:type="dxa"/>
            <w:bottom w:w="0" w:type="dxa"/>
          </w:tblCellMar>
        </w:tblPrEx>
        <w:tc>
          <w:tcPr>
            <w:tcW w:w="5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2.2</w:t>
            </w:r>
          </w:p>
        </w:tc>
        <w:tc>
          <w:tcPr>
            <w:tcW w:w="23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Topic hubs</w:t>
            </w:r>
          </w:p>
        </w:tc>
        <w:tc>
          <w:tcPr>
            <w:tcW w:w="30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/knowledge/topics/[topic]/</w:t>
            </w:r>
          </w:p>
        </w:tc>
        <w:tc>
          <w:tcPr>
            <w:tcW w:w="35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Pillar pages: advance rent, tenancy agreements, rent control, eviction, landlord compliance</w:t>
            </w:r>
          </w:p>
        </w:tc>
      </w:tr>
      <w:tr w:rsidR="003C62DF">
        <w:tblPrEx>
          <w:tblCellMar>
            <w:top w:w="0" w:type="dxa"/>
            <w:bottom w:w="0" w:type="dxa"/>
          </w:tblCellMar>
        </w:tblPrEx>
        <w:tc>
          <w:tcPr>
            <w:tcW w:w="5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3</w:t>
            </w:r>
          </w:p>
        </w:tc>
        <w:tc>
          <w:tcPr>
            <w:tcW w:w="23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Resources</w:t>
            </w:r>
          </w:p>
        </w:tc>
        <w:tc>
          <w:tcPr>
            <w:tcW w:w="30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/resources/</w:t>
            </w:r>
          </w:p>
        </w:tc>
        <w:tc>
          <w:tcPr>
            <w:tcW w:w="35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Free utility layer: directory, downloads, FAQs, calculators</w:t>
            </w:r>
          </w:p>
        </w:tc>
      </w:tr>
      <w:tr w:rsidR="003C62DF">
        <w:tblPrEx>
          <w:tblCellMar>
            <w:top w:w="0" w:type="dxa"/>
            <w:bottom w:w="0" w:type="dxa"/>
          </w:tblCellMar>
        </w:tblPrEx>
        <w:tc>
          <w:tcPr>
            <w:tcW w:w="5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3.1</w:t>
            </w:r>
          </w:p>
        </w:tc>
        <w:tc>
          <w:tcPr>
            <w:tcW w:w="23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Rent Control directory</w:t>
            </w:r>
          </w:p>
        </w:tc>
        <w:tc>
          <w:tcPr>
            <w:tcW w:w="30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/resources/rent-control-offices/</w:t>
            </w:r>
          </w:p>
        </w:tc>
        <w:tc>
          <w:tcPr>
            <w:tcW w:w="35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The 65-office, 10-region directory — a link magnet nobody else has published</w:t>
            </w:r>
          </w:p>
        </w:tc>
      </w:tr>
      <w:tr w:rsidR="003C62DF">
        <w:tblPrEx>
          <w:tblCellMar>
            <w:top w:w="0" w:type="dxa"/>
            <w:bottom w:w="0" w:type="dxa"/>
          </w:tblCellMar>
        </w:tblPrEx>
        <w:tc>
          <w:tcPr>
            <w:tcW w:w="5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3.2</w:t>
            </w:r>
          </w:p>
        </w:tc>
        <w:tc>
          <w:tcPr>
            <w:tcW w:w="23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Rent advance calculator</w:t>
            </w:r>
          </w:p>
        </w:tc>
        <w:tc>
          <w:tcPr>
            <w:tcW w:w="30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/resources/rent-advance-calculator/</w:t>
            </w:r>
          </w:p>
        </w:tc>
        <w:tc>
          <w:tcPr>
            <w:tcW w:w="35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Interactive tool; lead magnet and backlink earner</w:t>
            </w:r>
          </w:p>
        </w:tc>
      </w:tr>
      <w:tr w:rsidR="003C62DF">
        <w:tblPrEx>
          <w:tblCellMar>
            <w:top w:w="0" w:type="dxa"/>
            <w:bottom w:w="0" w:type="dxa"/>
          </w:tblCellMar>
        </w:tblPrEx>
        <w:tc>
          <w:tcPr>
            <w:tcW w:w="5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3.3</w:t>
            </w:r>
          </w:p>
        </w:tc>
        <w:tc>
          <w:tcPr>
            <w:tcW w:w="23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Notice period checker</w:t>
            </w:r>
          </w:p>
        </w:tc>
        <w:tc>
          <w:tcPr>
            <w:tcW w:w="30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/resources/notice-period-checker/</w:t>
            </w:r>
          </w:p>
        </w:tc>
        <w:tc>
          <w:tcPr>
            <w:tcW w:w="35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Interactive tool keyed to tenancy type</w:t>
            </w:r>
          </w:p>
        </w:tc>
      </w:tr>
      <w:tr w:rsidR="003C62DF">
        <w:tblPrEx>
          <w:tblCellMar>
            <w:top w:w="0" w:type="dxa"/>
            <w:bottom w:w="0" w:type="dxa"/>
          </w:tblCellMar>
        </w:tblPrEx>
        <w:tc>
          <w:tcPr>
            <w:tcW w:w="5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3.4</w:t>
            </w:r>
          </w:p>
        </w:tc>
        <w:tc>
          <w:tcPr>
            <w:tcW w:w="23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FAQs</w:t>
            </w:r>
          </w:p>
        </w:tc>
        <w:tc>
          <w:tcPr>
            <w:tcW w:w="30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/resources/faqs/</w:t>
            </w:r>
          </w:p>
        </w:tc>
        <w:tc>
          <w:tcPr>
            <w:tcW w:w="35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Structured Q&amp;A targeting long-tail queries; FAQ schema markup</w:t>
            </w:r>
          </w:p>
        </w:tc>
      </w:tr>
      <w:tr w:rsidR="003C62DF">
        <w:tblPrEx>
          <w:tblCellMar>
            <w:top w:w="0" w:type="dxa"/>
            <w:bottom w:w="0" w:type="dxa"/>
          </w:tblCellMar>
        </w:tblPrEx>
        <w:tc>
          <w:tcPr>
            <w:tcW w:w="5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4</w:t>
            </w:r>
          </w:p>
        </w:tc>
        <w:tc>
          <w:tcPr>
            <w:tcW w:w="23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Digital Products</w:t>
            </w:r>
          </w:p>
        </w:tc>
        <w:tc>
          <w:tcPr>
            <w:tcW w:w="30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/products/</w:t>
            </w:r>
          </w:p>
        </w:tc>
        <w:tc>
          <w:tcPr>
            <w:tcW w:w="35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Catalogue across the product categories, each card linking to its landing page</w:t>
            </w:r>
          </w:p>
        </w:tc>
      </w:tr>
      <w:tr w:rsidR="003C62DF">
        <w:tblPrEx>
          <w:tblCellMar>
            <w:top w:w="0" w:type="dxa"/>
            <w:bottom w:w="0" w:type="dxa"/>
          </w:tblCellMar>
        </w:tblPrEx>
        <w:tc>
          <w:tcPr>
            <w:tcW w:w="5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4.1</w:t>
            </w:r>
          </w:p>
        </w:tc>
        <w:tc>
          <w:tcPr>
            <w:tcW w:w="23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Product landing pages</w:t>
            </w:r>
          </w:p>
        </w:tc>
        <w:tc>
          <w:tcPr>
            <w:tcW w:w="30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/products/[slug]/</w:t>
            </w:r>
          </w:p>
        </w:tc>
        <w:tc>
          <w:tcPr>
            <w:tcW w:w="35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One page per product: problem, contents, compliance notes, preview, buy link (Selar)</w:t>
            </w:r>
          </w:p>
        </w:tc>
      </w:tr>
      <w:tr w:rsidR="003C62DF">
        <w:tblPrEx>
          <w:tblCellMar>
            <w:top w:w="0" w:type="dxa"/>
            <w:bottom w:w="0" w:type="dxa"/>
          </w:tblCellMar>
        </w:tblPrEx>
        <w:tc>
          <w:tcPr>
            <w:tcW w:w="5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5</w:t>
            </w:r>
          </w:p>
        </w:tc>
        <w:tc>
          <w:tcPr>
            <w:tcW w:w="23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Consultations &amp; Services</w:t>
            </w:r>
          </w:p>
        </w:tc>
        <w:tc>
          <w:tcPr>
            <w:tcW w:w="30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/services/</w:t>
            </w:r>
          </w:p>
        </w:tc>
        <w:tc>
          <w:tcPr>
            <w:tcW w:w="35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Service menu, from-GHS pricing, booking form, WhatsApp click-to-</w:t>
            </w:r>
            <w:r>
              <w:rPr>
                <w:color w:val="1A1A1A"/>
                <w:sz w:val="20"/>
                <w:szCs w:val="20"/>
              </w:rPr>
              <w:lastRenderedPageBreak/>
              <w:t>chat</w:t>
            </w:r>
          </w:p>
        </w:tc>
      </w:tr>
      <w:tr w:rsidR="003C62DF">
        <w:tblPrEx>
          <w:tblCellMar>
            <w:top w:w="0" w:type="dxa"/>
            <w:bottom w:w="0" w:type="dxa"/>
          </w:tblCellMar>
        </w:tblPrEx>
        <w:tc>
          <w:tcPr>
            <w:tcW w:w="5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lastRenderedPageBreak/>
              <w:t>6</w:t>
            </w:r>
          </w:p>
        </w:tc>
        <w:tc>
          <w:tcPr>
            <w:tcW w:w="23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About PRC</w:t>
            </w:r>
          </w:p>
        </w:tc>
        <w:tc>
          <w:tcPr>
            <w:tcW w:w="30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/about/</w:t>
            </w:r>
          </w:p>
        </w:tc>
        <w:tc>
          <w:tcPr>
            <w:tcW w:w="35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Executive Management Team, ALPINE values, credentials, brand story</w:t>
            </w:r>
          </w:p>
        </w:tc>
      </w:tr>
      <w:tr w:rsidR="003C62DF">
        <w:tblPrEx>
          <w:tblCellMar>
            <w:top w:w="0" w:type="dxa"/>
            <w:bottom w:w="0" w:type="dxa"/>
          </w:tblCellMar>
        </w:tblPrEx>
        <w:tc>
          <w:tcPr>
            <w:tcW w:w="5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7</w:t>
            </w:r>
          </w:p>
        </w:tc>
        <w:tc>
          <w:tcPr>
            <w:tcW w:w="23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Contact</w:t>
            </w:r>
          </w:p>
        </w:tc>
        <w:tc>
          <w:tcPr>
            <w:tcW w:w="30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/contact/</w:t>
            </w:r>
          </w:p>
        </w:tc>
        <w:tc>
          <w:tcPr>
            <w:tcW w:w="35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Form, email, WhatsApp, response-time promise</w:t>
            </w:r>
          </w:p>
        </w:tc>
      </w:tr>
      <w:tr w:rsidR="003C62DF">
        <w:tblPrEx>
          <w:tblCellMar>
            <w:top w:w="0" w:type="dxa"/>
            <w:bottom w:w="0" w:type="dxa"/>
          </w:tblCellMar>
        </w:tblPrEx>
        <w:tc>
          <w:tcPr>
            <w:tcW w:w="5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8</w:t>
            </w:r>
          </w:p>
        </w:tc>
        <w:tc>
          <w:tcPr>
            <w:tcW w:w="23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Disclaimer</w:t>
            </w:r>
          </w:p>
        </w:tc>
        <w:tc>
          <w:tcPr>
            <w:tcW w:w="30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/disclaimer/</w:t>
            </w:r>
          </w:p>
        </w:tc>
        <w:tc>
          <w:tcPr>
            <w:tcW w:w="35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General-information notice and Rent Control separation statement</w:t>
            </w:r>
          </w:p>
        </w:tc>
      </w:tr>
      <w:tr w:rsidR="003C62DF">
        <w:tblPrEx>
          <w:tblCellMar>
            <w:top w:w="0" w:type="dxa"/>
            <w:bottom w:w="0" w:type="dxa"/>
          </w:tblCellMar>
        </w:tblPrEx>
        <w:tc>
          <w:tcPr>
            <w:tcW w:w="5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9</w:t>
            </w:r>
          </w:p>
        </w:tc>
        <w:tc>
          <w:tcPr>
            <w:tcW w:w="23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Privacy Policy</w:t>
            </w:r>
          </w:p>
        </w:tc>
        <w:tc>
          <w:tcPr>
            <w:tcW w:w="30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/privacy/</w:t>
            </w:r>
          </w:p>
        </w:tc>
        <w:tc>
          <w:tcPr>
            <w:tcW w:w="35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Data Protection Act, 2012 (Act 843) compliant notice for email capture</w:t>
            </w:r>
          </w:p>
        </w:tc>
      </w:tr>
      <w:tr w:rsidR="003C62DF">
        <w:tblPrEx>
          <w:tblCellMar>
            <w:top w:w="0" w:type="dxa"/>
            <w:bottom w:w="0" w:type="dxa"/>
          </w:tblCellMar>
        </w:tblPrEx>
        <w:tc>
          <w:tcPr>
            <w:tcW w:w="5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10</w:t>
            </w:r>
          </w:p>
        </w:tc>
        <w:tc>
          <w:tcPr>
            <w:tcW w:w="23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Terms of Use</w:t>
            </w:r>
          </w:p>
        </w:tc>
        <w:tc>
          <w:tcPr>
            <w:tcW w:w="30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/terms/</w:t>
            </w:r>
          </w:p>
        </w:tc>
        <w:tc>
          <w:tcPr>
            <w:tcW w:w="35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Licence terms for digital products; refund position</w:t>
            </w:r>
          </w:p>
        </w:tc>
      </w:tr>
    </w:tbl>
    <w:p w:rsidR="003C62DF" w:rsidRDefault="003C62DF">
      <w:pPr>
        <w:spacing w:after="80"/>
      </w:pPr>
    </w:p>
    <w:p w:rsidR="003C62DF" w:rsidRDefault="00E56426">
      <w:pPr>
        <w:pStyle w:val="Heading2"/>
      </w:pPr>
      <w:r>
        <w:t>Internal linking logic</w:t>
      </w:r>
    </w:p>
    <w:p w:rsidR="003C62DF" w:rsidRDefault="00E56426">
      <w:pPr>
        <w:pStyle w:val="ListParagraph"/>
        <w:numPr>
          <w:ilvl w:val="0"/>
          <w:numId w:val="2"/>
        </w:numPr>
        <w:spacing w:after="80" w:line="280" w:lineRule="auto"/>
      </w:pPr>
      <w:r>
        <w:rPr>
          <w:b/>
          <w:bCs/>
          <w:color w:val="1A1A1A"/>
        </w:rPr>
        <w:t xml:space="preserve">Articles link down — </w:t>
      </w:r>
      <w:r>
        <w:rPr>
          <w:color w:val="1A1A1A"/>
        </w:rPr>
        <w:t>every Knowledge Hub article links to at least one product landing page and one resource/tool, in context, not in a footer.</w:t>
      </w:r>
    </w:p>
    <w:p w:rsidR="003C62DF" w:rsidRDefault="00E56426">
      <w:pPr>
        <w:pStyle w:val="ListParagraph"/>
        <w:numPr>
          <w:ilvl w:val="0"/>
          <w:numId w:val="2"/>
        </w:numPr>
        <w:spacing w:after="80" w:line="280" w:lineRule="auto"/>
      </w:pPr>
      <w:r>
        <w:rPr>
          <w:b/>
          <w:bCs/>
          <w:color w:val="1A1A1A"/>
        </w:rPr>
        <w:t xml:space="preserve">Products link up — </w:t>
      </w:r>
      <w:r>
        <w:rPr>
          <w:color w:val="1A1A1A"/>
        </w:rPr>
        <w:t>every product page links back to the two or three articles that explain the problem it solves, building topical cl</w:t>
      </w:r>
      <w:r>
        <w:rPr>
          <w:color w:val="1A1A1A"/>
        </w:rPr>
        <w:t>usters.</w:t>
      </w:r>
    </w:p>
    <w:p w:rsidR="003C62DF" w:rsidRDefault="00E56426">
      <w:pPr>
        <w:pStyle w:val="ListParagraph"/>
        <w:numPr>
          <w:ilvl w:val="0"/>
          <w:numId w:val="2"/>
        </w:numPr>
        <w:spacing w:after="80" w:line="280" w:lineRule="auto"/>
      </w:pPr>
      <w:r>
        <w:rPr>
          <w:b/>
          <w:bCs/>
          <w:color w:val="1A1A1A"/>
        </w:rPr>
        <w:t xml:space="preserve">Hubs concentrate authority — </w:t>
      </w:r>
      <w:r>
        <w:rPr>
          <w:color w:val="1A1A1A"/>
        </w:rPr>
        <w:t>topic hub pages link to every article in their cluster; articles link back to their hub. Search engines read this as subject-matter depth.</w:t>
      </w:r>
    </w:p>
    <w:p w:rsidR="003C62DF" w:rsidRDefault="00E56426">
      <w:pPr>
        <w:pStyle w:val="ListParagraph"/>
        <w:numPr>
          <w:ilvl w:val="0"/>
          <w:numId w:val="2"/>
        </w:numPr>
        <w:spacing w:after="80" w:line="280" w:lineRule="auto"/>
      </w:pPr>
      <w:r>
        <w:rPr>
          <w:b/>
          <w:bCs/>
          <w:color w:val="1A1A1A"/>
        </w:rPr>
        <w:t xml:space="preserve">Every page exits somewhere — </w:t>
      </w:r>
      <w:r>
        <w:rPr>
          <w:color w:val="1A1A1A"/>
        </w:rPr>
        <w:t>no dead ends: each page closes with one primary CTA</w:t>
      </w:r>
      <w:r>
        <w:rPr>
          <w:color w:val="1A1A1A"/>
        </w:rPr>
        <w:t xml:space="preserve"> (buy, book, or subscribe) and one soft CTA (read related guidance).</w:t>
      </w:r>
    </w:p>
    <w:p w:rsidR="003C62DF" w:rsidRDefault="00E56426">
      <w:r>
        <w:br w:type="page"/>
      </w:r>
    </w:p>
    <w:p w:rsidR="003C62DF" w:rsidRDefault="00E56426">
      <w:pPr>
        <w:pStyle w:val="Heading1"/>
        <w:pBdr>
          <w:bottom w:val="single" w:sz="8" w:space="2" w:color="516984"/>
        </w:pBdr>
      </w:pPr>
      <w:r>
        <w:lastRenderedPageBreak/>
        <w:t>Part B — Page-by-Page Content Briefs</w:t>
      </w:r>
    </w:p>
    <w:p w:rsidR="003C62DF" w:rsidRDefault="00E56426">
      <w:pPr>
        <w:pStyle w:val="Heading2"/>
      </w:pPr>
      <w:r>
        <w:t>B1. Home (/)</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C62DF">
        <w:tblPrEx>
          <w:tblCellMar>
            <w:top w:w="0" w:type="dxa"/>
            <w:bottom w:w="0" w:type="dxa"/>
          </w:tblCellMar>
        </w:tblPrEx>
        <w:tc>
          <w:tcPr>
            <w:tcW w:w="2600" w:type="dxa"/>
            <w:tcBorders>
              <w:top w:val="single" w:sz="1" w:space="0" w:color="C9C2B8"/>
              <w:left w:val="single" w:sz="1" w:space="0" w:color="C9C2B8"/>
              <w:bottom w:val="single" w:sz="1" w:space="0" w:color="C9C2B8"/>
              <w:right w:val="single" w:sz="1" w:space="0" w:color="C9C2B8"/>
            </w:tcBorders>
            <w:shd w:val="clear" w:color="auto" w:fill="E9E4DC"/>
            <w:tcMar>
              <w:top w:w="80" w:type="dxa"/>
              <w:left w:w="120" w:type="dxa"/>
              <w:bottom w:w="80" w:type="dxa"/>
              <w:right w:w="120" w:type="dxa"/>
            </w:tcMar>
          </w:tcPr>
          <w:p w:rsidR="003C62DF" w:rsidRDefault="00E56426">
            <w:pPr>
              <w:spacing w:line="270" w:lineRule="auto"/>
            </w:pPr>
            <w:r>
              <w:rPr>
                <w:b/>
                <w:bCs/>
                <w:color w:val="36221C"/>
                <w:sz w:val="20"/>
                <w:szCs w:val="20"/>
              </w:rPr>
              <w:t>Primary audience</w:t>
            </w:r>
          </w:p>
        </w:tc>
        <w:tc>
          <w:tcPr>
            <w:tcW w:w="67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All three: tenants, landlords, professionals — routed within the first screen</w:t>
            </w:r>
          </w:p>
        </w:tc>
      </w:tr>
      <w:tr w:rsidR="003C62DF">
        <w:tblPrEx>
          <w:tblCellMar>
            <w:top w:w="0" w:type="dxa"/>
            <w:bottom w:w="0" w:type="dxa"/>
          </w:tblCellMar>
        </w:tblPrEx>
        <w:tc>
          <w:tcPr>
            <w:tcW w:w="2600" w:type="dxa"/>
            <w:tcBorders>
              <w:top w:val="single" w:sz="1" w:space="0" w:color="C9C2B8"/>
              <w:left w:val="single" w:sz="1" w:space="0" w:color="C9C2B8"/>
              <w:bottom w:val="single" w:sz="1" w:space="0" w:color="C9C2B8"/>
              <w:right w:val="single" w:sz="1" w:space="0" w:color="C9C2B8"/>
            </w:tcBorders>
            <w:shd w:val="clear" w:color="auto" w:fill="E9E4DC"/>
            <w:tcMar>
              <w:top w:w="80" w:type="dxa"/>
              <w:left w:w="120" w:type="dxa"/>
              <w:bottom w:w="80" w:type="dxa"/>
              <w:right w:w="120" w:type="dxa"/>
            </w:tcMar>
          </w:tcPr>
          <w:p w:rsidR="003C62DF" w:rsidRDefault="00E56426">
            <w:pPr>
              <w:spacing w:line="270" w:lineRule="auto"/>
            </w:pPr>
            <w:r>
              <w:rPr>
                <w:b/>
                <w:bCs/>
                <w:color w:val="36221C"/>
                <w:sz w:val="20"/>
                <w:szCs w:val="20"/>
              </w:rPr>
              <w:t>Primary keyword</w:t>
            </w:r>
          </w:p>
        </w:tc>
        <w:tc>
          <w:tcPr>
            <w:tcW w:w="67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property and rent consu</w:t>
            </w:r>
            <w:r>
              <w:rPr>
                <w:color w:val="1A1A1A"/>
                <w:sz w:val="20"/>
                <w:szCs w:val="20"/>
              </w:rPr>
              <w:t>lt Ghana (brand); supporting: tenancy documents Ghana, rent consultant Ghana</w:t>
            </w:r>
          </w:p>
        </w:tc>
      </w:tr>
      <w:tr w:rsidR="003C62DF">
        <w:tblPrEx>
          <w:tblCellMar>
            <w:top w:w="0" w:type="dxa"/>
            <w:bottom w:w="0" w:type="dxa"/>
          </w:tblCellMar>
        </w:tblPrEx>
        <w:tc>
          <w:tcPr>
            <w:tcW w:w="2600" w:type="dxa"/>
            <w:tcBorders>
              <w:top w:val="single" w:sz="1" w:space="0" w:color="C9C2B8"/>
              <w:left w:val="single" w:sz="1" w:space="0" w:color="C9C2B8"/>
              <w:bottom w:val="single" w:sz="1" w:space="0" w:color="C9C2B8"/>
              <w:right w:val="single" w:sz="1" w:space="0" w:color="C9C2B8"/>
            </w:tcBorders>
            <w:shd w:val="clear" w:color="auto" w:fill="E9E4DC"/>
            <w:tcMar>
              <w:top w:w="80" w:type="dxa"/>
              <w:left w:w="120" w:type="dxa"/>
              <w:bottom w:w="80" w:type="dxa"/>
              <w:right w:w="120" w:type="dxa"/>
            </w:tcMar>
          </w:tcPr>
          <w:p w:rsidR="003C62DF" w:rsidRDefault="00E56426">
            <w:pPr>
              <w:spacing w:line="270" w:lineRule="auto"/>
            </w:pPr>
            <w:r>
              <w:rPr>
                <w:b/>
                <w:bCs/>
                <w:color w:val="36221C"/>
                <w:sz w:val="20"/>
                <w:szCs w:val="20"/>
              </w:rPr>
              <w:t>Conversion goals</w:t>
            </w:r>
          </w:p>
        </w:tc>
        <w:tc>
          <w:tcPr>
            <w:tcW w:w="67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1) Product click-through to Selar  2) Consultation booking  3) Lead-magnet email capture</w:t>
            </w:r>
          </w:p>
        </w:tc>
      </w:tr>
      <w:tr w:rsidR="003C62DF">
        <w:tblPrEx>
          <w:tblCellMar>
            <w:top w:w="0" w:type="dxa"/>
            <w:bottom w:w="0" w:type="dxa"/>
          </w:tblCellMar>
        </w:tblPrEx>
        <w:tc>
          <w:tcPr>
            <w:tcW w:w="2600" w:type="dxa"/>
            <w:tcBorders>
              <w:top w:val="single" w:sz="1" w:space="0" w:color="C9C2B8"/>
              <w:left w:val="single" w:sz="1" w:space="0" w:color="C9C2B8"/>
              <w:bottom w:val="single" w:sz="1" w:space="0" w:color="C9C2B8"/>
              <w:right w:val="single" w:sz="1" w:space="0" w:color="C9C2B8"/>
            </w:tcBorders>
            <w:shd w:val="clear" w:color="auto" w:fill="E9E4DC"/>
            <w:tcMar>
              <w:top w:w="80" w:type="dxa"/>
              <w:left w:w="120" w:type="dxa"/>
              <w:bottom w:w="80" w:type="dxa"/>
              <w:right w:w="120" w:type="dxa"/>
            </w:tcMar>
          </w:tcPr>
          <w:p w:rsidR="003C62DF" w:rsidRDefault="00E56426">
            <w:pPr>
              <w:spacing w:line="270" w:lineRule="auto"/>
            </w:pPr>
            <w:r>
              <w:rPr>
                <w:b/>
                <w:bCs/>
                <w:color w:val="36221C"/>
                <w:sz w:val="20"/>
                <w:szCs w:val="20"/>
              </w:rPr>
              <w:t>Word count</w:t>
            </w:r>
          </w:p>
        </w:tc>
        <w:tc>
          <w:tcPr>
            <w:tcW w:w="67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550–750 words on-page (homepages convert through clarity, not volume)</w:t>
            </w:r>
          </w:p>
        </w:tc>
      </w:tr>
      <w:tr w:rsidR="003C62DF">
        <w:tblPrEx>
          <w:tblCellMar>
            <w:top w:w="0" w:type="dxa"/>
            <w:bottom w:w="0" w:type="dxa"/>
          </w:tblCellMar>
        </w:tblPrEx>
        <w:tc>
          <w:tcPr>
            <w:tcW w:w="2600" w:type="dxa"/>
            <w:tcBorders>
              <w:top w:val="single" w:sz="1" w:space="0" w:color="C9C2B8"/>
              <w:left w:val="single" w:sz="1" w:space="0" w:color="C9C2B8"/>
              <w:bottom w:val="single" w:sz="1" w:space="0" w:color="C9C2B8"/>
              <w:right w:val="single" w:sz="1" w:space="0" w:color="C9C2B8"/>
            </w:tcBorders>
            <w:shd w:val="clear" w:color="auto" w:fill="E9E4DC"/>
            <w:tcMar>
              <w:top w:w="80" w:type="dxa"/>
              <w:left w:w="120" w:type="dxa"/>
              <w:bottom w:w="80" w:type="dxa"/>
              <w:right w:w="120" w:type="dxa"/>
            </w:tcMar>
          </w:tcPr>
          <w:p w:rsidR="003C62DF" w:rsidRDefault="00E56426">
            <w:pPr>
              <w:spacing w:line="270" w:lineRule="auto"/>
            </w:pPr>
            <w:r>
              <w:rPr>
                <w:b/>
                <w:bCs/>
                <w:color w:val="36221C"/>
                <w:sz w:val="20"/>
                <w:szCs w:val="20"/>
              </w:rPr>
              <w:t>Tone</w:t>
            </w:r>
          </w:p>
        </w:tc>
        <w:tc>
          <w:tcPr>
            <w:tcW w:w="67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Institutional, calm, statutory — “PRC advises…”</w:t>
            </w:r>
          </w:p>
        </w:tc>
      </w:tr>
    </w:tbl>
    <w:p w:rsidR="003C62DF" w:rsidRDefault="003C62DF">
      <w:pPr>
        <w:spacing w:after="60"/>
      </w:pPr>
    </w:p>
    <w:p w:rsidR="003C62DF" w:rsidRDefault="00E56426">
      <w:pPr>
        <w:spacing w:before="160" w:after="100"/>
      </w:pPr>
      <w:r>
        <w:rPr>
          <w:b/>
          <w:bCs/>
          <w:color w:val="36221C"/>
        </w:rPr>
        <w:t>Page sections (in order)</w:t>
      </w:r>
    </w:p>
    <w:p w:rsidR="003C62DF" w:rsidRDefault="00E56426">
      <w:pPr>
        <w:pStyle w:val="ListParagraph"/>
        <w:numPr>
          <w:ilvl w:val="0"/>
          <w:numId w:val="2"/>
        </w:numPr>
        <w:spacing w:after="80" w:line="280" w:lineRule="auto"/>
      </w:pPr>
      <w:r>
        <w:rPr>
          <w:b/>
          <w:bCs/>
          <w:color w:val="1A1A1A"/>
        </w:rPr>
        <w:t xml:space="preserve">Hero — </w:t>
      </w:r>
      <w:r>
        <w:rPr>
          <w:color w:val="1A1A1A"/>
        </w:rPr>
        <w:t>headline + subline + dual CTA (Browse Documents / Book a Consultation). Full copy in Part C.</w:t>
      </w:r>
    </w:p>
    <w:p w:rsidR="003C62DF" w:rsidRDefault="00E56426">
      <w:pPr>
        <w:pStyle w:val="ListParagraph"/>
        <w:numPr>
          <w:ilvl w:val="0"/>
          <w:numId w:val="2"/>
        </w:numPr>
        <w:spacing w:after="80" w:line="280" w:lineRule="auto"/>
      </w:pPr>
      <w:r>
        <w:rPr>
          <w:b/>
          <w:bCs/>
          <w:color w:val="1A1A1A"/>
        </w:rPr>
        <w:t xml:space="preserve">Audience router — </w:t>
      </w:r>
      <w:r>
        <w:rPr>
          <w:color w:val="1A1A1A"/>
        </w:rPr>
        <w:t>three cards — I am a Tenant / I am a Landlord / I am a Professional — each naming the audience's top fear and linking to its topic hub.</w:t>
      </w:r>
    </w:p>
    <w:p w:rsidR="003C62DF" w:rsidRDefault="00E56426">
      <w:pPr>
        <w:pStyle w:val="ListParagraph"/>
        <w:numPr>
          <w:ilvl w:val="0"/>
          <w:numId w:val="2"/>
        </w:numPr>
        <w:spacing w:after="80" w:line="280" w:lineRule="auto"/>
      </w:pPr>
      <w:r>
        <w:rPr>
          <w:b/>
          <w:bCs/>
          <w:color w:val="1A1A1A"/>
        </w:rPr>
        <w:t xml:space="preserve">Authority strip — </w:t>
      </w:r>
      <w:r>
        <w:rPr>
          <w:color w:val="1A1A1A"/>
        </w:rPr>
        <w:t>Act 220 · L.I. 369 grounding, MGhIS credentials, frontline rent-administration exper</w:t>
      </w:r>
      <w:r>
        <w:rPr>
          <w:color w:val="1A1A1A"/>
        </w:rPr>
        <w:t>ience — stated without naming the adjudicatory role's office.</w:t>
      </w:r>
    </w:p>
    <w:p w:rsidR="003C62DF" w:rsidRDefault="00E56426">
      <w:pPr>
        <w:pStyle w:val="ListParagraph"/>
        <w:numPr>
          <w:ilvl w:val="0"/>
          <w:numId w:val="2"/>
        </w:numPr>
        <w:spacing w:after="80" w:line="280" w:lineRule="auto"/>
      </w:pPr>
      <w:r>
        <w:rPr>
          <w:b/>
          <w:bCs/>
          <w:color w:val="1A1A1A"/>
        </w:rPr>
        <w:t xml:space="preserve">Featured products — </w:t>
      </w:r>
      <w:r>
        <w:rPr>
          <w:color w:val="1A1A1A"/>
        </w:rPr>
        <w:t>3–4 cards (tenancy agreement, commercial lease, offer letter, plus one tool) with prices and Selar links.</w:t>
      </w:r>
    </w:p>
    <w:p w:rsidR="003C62DF" w:rsidRDefault="00E56426">
      <w:pPr>
        <w:pStyle w:val="ListParagraph"/>
        <w:numPr>
          <w:ilvl w:val="0"/>
          <w:numId w:val="2"/>
        </w:numPr>
        <w:spacing w:after="80" w:line="280" w:lineRule="auto"/>
      </w:pPr>
      <w:r>
        <w:rPr>
          <w:b/>
          <w:bCs/>
          <w:color w:val="1A1A1A"/>
        </w:rPr>
        <w:t xml:space="preserve">Knowledge Hub teaser — </w:t>
      </w:r>
      <w:r>
        <w:rPr>
          <w:color w:val="1A1A1A"/>
        </w:rPr>
        <w:t>latest three articles, pulling readers into the SEO layer.</w:t>
      </w:r>
    </w:p>
    <w:p w:rsidR="003C62DF" w:rsidRDefault="00E56426">
      <w:pPr>
        <w:pStyle w:val="ListParagraph"/>
        <w:numPr>
          <w:ilvl w:val="0"/>
          <w:numId w:val="2"/>
        </w:numPr>
        <w:spacing w:after="80" w:line="280" w:lineRule="auto"/>
      </w:pPr>
      <w:r>
        <w:rPr>
          <w:b/>
          <w:bCs/>
          <w:color w:val="1A1A1A"/>
        </w:rPr>
        <w:t xml:space="preserve">Lead magnet band — </w:t>
      </w:r>
      <w:r>
        <w:rPr>
          <w:color w:val="1A1A1A"/>
        </w:rPr>
        <w:t>Tenant's Rights Pocket Guide email capture.</w:t>
      </w:r>
    </w:p>
    <w:p w:rsidR="003C62DF" w:rsidRDefault="00E56426">
      <w:pPr>
        <w:pStyle w:val="ListParagraph"/>
        <w:numPr>
          <w:ilvl w:val="0"/>
          <w:numId w:val="2"/>
        </w:numPr>
        <w:spacing w:after="80" w:line="280" w:lineRule="auto"/>
      </w:pPr>
      <w:r>
        <w:rPr>
          <w:b/>
          <w:bCs/>
          <w:color w:val="1A1A1A"/>
        </w:rPr>
        <w:t xml:space="preserve">Consultation CTA — </w:t>
      </w:r>
      <w:r>
        <w:rPr>
          <w:color w:val="1A1A1A"/>
        </w:rPr>
        <w:t>service summary + WhatsApp click-to-chat.</w:t>
      </w:r>
    </w:p>
    <w:p w:rsidR="003C62DF" w:rsidRDefault="00E56426">
      <w:pPr>
        <w:pStyle w:val="ListParagraph"/>
        <w:numPr>
          <w:ilvl w:val="0"/>
          <w:numId w:val="2"/>
        </w:numPr>
        <w:spacing w:after="80" w:line="280" w:lineRule="auto"/>
      </w:pPr>
      <w:r>
        <w:rPr>
          <w:b/>
          <w:bCs/>
          <w:color w:val="1A1A1A"/>
        </w:rPr>
        <w:t xml:space="preserve">Footer — </w:t>
      </w:r>
      <w:r>
        <w:rPr>
          <w:color w:val="1A1A1A"/>
        </w:rPr>
        <w:t>sitemap links, disclaimer line, Data Protection notice link.</w:t>
      </w:r>
    </w:p>
    <w:p w:rsidR="003C62DF" w:rsidRDefault="003C62DF">
      <w:pPr>
        <w:spacing w:after="4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62DF">
        <w:tblPrEx>
          <w:tblCellMar>
            <w:top w:w="0" w:type="dxa"/>
            <w:bottom w:w="0" w:type="dxa"/>
          </w:tblCellMar>
        </w:tblPrEx>
        <w:tc>
          <w:tcPr>
            <w:tcW w:w="9360" w:type="dxa"/>
            <w:tcBorders>
              <w:top w:val="single" w:sz="1" w:space="0" w:color="C9C2B8"/>
              <w:left w:val="single" w:sz="24" w:space="0" w:color="516984"/>
              <w:bottom w:val="single" w:sz="1" w:space="0" w:color="C9C2B8"/>
              <w:right w:val="single" w:sz="1" w:space="0" w:color="C9C2B8"/>
            </w:tcBorders>
            <w:shd w:val="clear" w:color="auto" w:fill="F4F1EC"/>
            <w:tcMar>
              <w:top w:w="120" w:type="dxa"/>
              <w:left w:w="160" w:type="dxa"/>
              <w:bottom w:w="120" w:type="dxa"/>
              <w:right w:w="160" w:type="dxa"/>
            </w:tcMar>
          </w:tcPr>
          <w:p w:rsidR="003C62DF" w:rsidRDefault="00E56426">
            <w:pPr>
              <w:spacing w:line="290" w:lineRule="auto"/>
            </w:pPr>
            <w:r>
              <w:rPr>
                <w:color w:val="36221C"/>
                <w:sz w:val="21"/>
                <w:szCs w:val="21"/>
              </w:rPr>
              <w:t>Di</w:t>
            </w:r>
            <w:r>
              <w:rPr>
                <w:color w:val="36221C"/>
                <w:sz w:val="21"/>
                <w:szCs w:val="21"/>
              </w:rPr>
              <w:t>sclaimer line appears in the footer of every page: “PRC provides general guidance and documentation; it does not represent parties in Rent Control proceedings adjudicated by its principals. Content is general information, not legal advice.”</w:t>
            </w:r>
          </w:p>
        </w:tc>
      </w:tr>
    </w:tbl>
    <w:p w:rsidR="003C62DF" w:rsidRDefault="003C62DF">
      <w:pPr>
        <w:spacing w:after="120"/>
      </w:pPr>
    </w:p>
    <w:p w:rsidR="003C62DF" w:rsidRDefault="00E56426">
      <w:pPr>
        <w:pStyle w:val="Heading2"/>
      </w:pPr>
      <w:r>
        <w:t>B2. Knowledge</w:t>
      </w:r>
      <w:r>
        <w:t xml:space="preserve"> Hub (/knowledge/)</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C62DF">
        <w:tblPrEx>
          <w:tblCellMar>
            <w:top w:w="0" w:type="dxa"/>
            <w:bottom w:w="0" w:type="dxa"/>
          </w:tblCellMar>
        </w:tblPrEx>
        <w:tc>
          <w:tcPr>
            <w:tcW w:w="2600" w:type="dxa"/>
            <w:tcBorders>
              <w:top w:val="single" w:sz="1" w:space="0" w:color="C9C2B8"/>
              <w:left w:val="single" w:sz="1" w:space="0" w:color="C9C2B8"/>
              <w:bottom w:val="single" w:sz="1" w:space="0" w:color="C9C2B8"/>
              <w:right w:val="single" w:sz="1" w:space="0" w:color="C9C2B8"/>
            </w:tcBorders>
            <w:shd w:val="clear" w:color="auto" w:fill="E9E4DC"/>
            <w:tcMar>
              <w:top w:w="80" w:type="dxa"/>
              <w:left w:w="120" w:type="dxa"/>
              <w:bottom w:w="80" w:type="dxa"/>
              <w:right w:w="120" w:type="dxa"/>
            </w:tcMar>
          </w:tcPr>
          <w:p w:rsidR="003C62DF" w:rsidRDefault="00E56426">
            <w:pPr>
              <w:spacing w:line="270" w:lineRule="auto"/>
            </w:pPr>
            <w:r>
              <w:rPr>
                <w:b/>
                <w:bCs/>
                <w:color w:val="36221C"/>
                <w:sz w:val="20"/>
                <w:szCs w:val="20"/>
              </w:rPr>
              <w:t>Primary audience</w:t>
            </w:r>
          </w:p>
        </w:tc>
        <w:tc>
          <w:tcPr>
            <w:tcW w:w="67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Organic search traffic at the problem-aware stage</w:t>
            </w:r>
          </w:p>
        </w:tc>
      </w:tr>
      <w:tr w:rsidR="003C62DF">
        <w:tblPrEx>
          <w:tblCellMar>
            <w:top w:w="0" w:type="dxa"/>
            <w:bottom w:w="0" w:type="dxa"/>
          </w:tblCellMar>
        </w:tblPrEx>
        <w:tc>
          <w:tcPr>
            <w:tcW w:w="2600" w:type="dxa"/>
            <w:tcBorders>
              <w:top w:val="single" w:sz="1" w:space="0" w:color="C9C2B8"/>
              <w:left w:val="single" w:sz="1" w:space="0" w:color="C9C2B8"/>
              <w:bottom w:val="single" w:sz="1" w:space="0" w:color="C9C2B8"/>
              <w:right w:val="single" w:sz="1" w:space="0" w:color="C9C2B8"/>
            </w:tcBorders>
            <w:shd w:val="clear" w:color="auto" w:fill="E9E4DC"/>
            <w:tcMar>
              <w:top w:w="80" w:type="dxa"/>
              <w:left w:w="120" w:type="dxa"/>
              <w:bottom w:w="80" w:type="dxa"/>
              <w:right w:w="120" w:type="dxa"/>
            </w:tcMar>
          </w:tcPr>
          <w:p w:rsidR="003C62DF" w:rsidRDefault="00E56426">
            <w:pPr>
              <w:spacing w:line="270" w:lineRule="auto"/>
            </w:pPr>
            <w:r>
              <w:rPr>
                <w:b/>
                <w:bCs/>
                <w:color w:val="36221C"/>
                <w:sz w:val="20"/>
                <w:szCs w:val="20"/>
              </w:rPr>
              <w:t>Primary keywords</w:t>
            </w:r>
          </w:p>
        </w:tc>
        <w:tc>
          <w:tcPr>
            <w:tcW w:w="67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Captured at article level; the index itself targets “property and tenancy guidance Ghana”</w:t>
            </w:r>
          </w:p>
        </w:tc>
      </w:tr>
      <w:tr w:rsidR="003C62DF">
        <w:tblPrEx>
          <w:tblCellMar>
            <w:top w:w="0" w:type="dxa"/>
            <w:bottom w:w="0" w:type="dxa"/>
          </w:tblCellMar>
        </w:tblPrEx>
        <w:tc>
          <w:tcPr>
            <w:tcW w:w="2600" w:type="dxa"/>
            <w:tcBorders>
              <w:top w:val="single" w:sz="1" w:space="0" w:color="C9C2B8"/>
              <w:left w:val="single" w:sz="1" w:space="0" w:color="C9C2B8"/>
              <w:bottom w:val="single" w:sz="1" w:space="0" w:color="C9C2B8"/>
              <w:right w:val="single" w:sz="1" w:space="0" w:color="C9C2B8"/>
            </w:tcBorders>
            <w:shd w:val="clear" w:color="auto" w:fill="E9E4DC"/>
            <w:tcMar>
              <w:top w:w="80" w:type="dxa"/>
              <w:left w:w="120" w:type="dxa"/>
              <w:bottom w:w="80" w:type="dxa"/>
              <w:right w:w="120" w:type="dxa"/>
            </w:tcMar>
          </w:tcPr>
          <w:p w:rsidR="003C62DF" w:rsidRDefault="00E56426">
            <w:pPr>
              <w:spacing w:line="270" w:lineRule="auto"/>
            </w:pPr>
            <w:r>
              <w:rPr>
                <w:b/>
                <w:bCs/>
                <w:color w:val="36221C"/>
                <w:sz w:val="20"/>
                <w:szCs w:val="20"/>
              </w:rPr>
              <w:t>Conversion goals</w:t>
            </w:r>
          </w:p>
        </w:tc>
        <w:tc>
          <w:tcPr>
            <w:tcW w:w="67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Article click-through; newsletter subscription</w:t>
            </w:r>
          </w:p>
        </w:tc>
      </w:tr>
      <w:tr w:rsidR="003C62DF">
        <w:tblPrEx>
          <w:tblCellMar>
            <w:top w:w="0" w:type="dxa"/>
            <w:bottom w:w="0" w:type="dxa"/>
          </w:tblCellMar>
        </w:tblPrEx>
        <w:tc>
          <w:tcPr>
            <w:tcW w:w="2600" w:type="dxa"/>
            <w:tcBorders>
              <w:top w:val="single" w:sz="1" w:space="0" w:color="C9C2B8"/>
              <w:left w:val="single" w:sz="1" w:space="0" w:color="C9C2B8"/>
              <w:bottom w:val="single" w:sz="1" w:space="0" w:color="C9C2B8"/>
              <w:right w:val="single" w:sz="1" w:space="0" w:color="C9C2B8"/>
            </w:tcBorders>
            <w:shd w:val="clear" w:color="auto" w:fill="E9E4DC"/>
            <w:tcMar>
              <w:top w:w="80" w:type="dxa"/>
              <w:left w:w="120" w:type="dxa"/>
              <w:bottom w:w="80" w:type="dxa"/>
              <w:right w:w="120" w:type="dxa"/>
            </w:tcMar>
          </w:tcPr>
          <w:p w:rsidR="003C62DF" w:rsidRDefault="00E56426">
            <w:pPr>
              <w:spacing w:line="270" w:lineRule="auto"/>
            </w:pPr>
            <w:r>
              <w:rPr>
                <w:b/>
                <w:bCs/>
                <w:color w:val="36221C"/>
                <w:sz w:val="20"/>
                <w:szCs w:val="20"/>
              </w:rPr>
              <w:lastRenderedPageBreak/>
              <w:t>Cadence</w:t>
            </w:r>
          </w:p>
        </w:tc>
        <w:tc>
          <w:tcPr>
            <w:tcW w:w="67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Two articles per month minimum; consistency beats volume</w:t>
            </w:r>
          </w:p>
        </w:tc>
      </w:tr>
      <w:tr w:rsidR="003C62DF">
        <w:tblPrEx>
          <w:tblCellMar>
            <w:top w:w="0" w:type="dxa"/>
            <w:bottom w:w="0" w:type="dxa"/>
          </w:tblCellMar>
        </w:tblPrEx>
        <w:tc>
          <w:tcPr>
            <w:tcW w:w="2600" w:type="dxa"/>
            <w:tcBorders>
              <w:top w:val="single" w:sz="1" w:space="0" w:color="C9C2B8"/>
              <w:left w:val="single" w:sz="1" w:space="0" w:color="C9C2B8"/>
              <w:bottom w:val="single" w:sz="1" w:space="0" w:color="C9C2B8"/>
              <w:right w:val="single" w:sz="1" w:space="0" w:color="C9C2B8"/>
            </w:tcBorders>
            <w:shd w:val="clear" w:color="auto" w:fill="E9E4DC"/>
            <w:tcMar>
              <w:top w:w="80" w:type="dxa"/>
              <w:left w:w="120" w:type="dxa"/>
              <w:bottom w:w="80" w:type="dxa"/>
              <w:right w:w="120" w:type="dxa"/>
            </w:tcMar>
          </w:tcPr>
          <w:p w:rsidR="003C62DF" w:rsidRDefault="00E56426">
            <w:pPr>
              <w:spacing w:line="270" w:lineRule="auto"/>
            </w:pPr>
            <w:r>
              <w:rPr>
                <w:b/>
                <w:bCs/>
                <w:color w:val="36221C"/>
                <w:sz w:val="20"/>
                <w:szCs w:val="20"/>
              </w:rPr>
              <w:t>Format</w:t>
            </w:r>
          </w:p>
        </w:tc>
        <w:tc>
          <w:tcPr>
            <w:tcW w:w="67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Card grid with topic filter (Advance Rent · Agreements · Rent Control · Eviction · Compliance)</w:t>
            </w:r>
          </w:p>
        </w:tc>
      </w:tr>
    </w:tbl>
    <w:p w:rsidR="003C62DF" w:rsidRDefault="003C62DF">
      <w:pPr>
        <w:spacing w:after="60"/>
      </w:pPr>
    </w:p>
    <w:p w:rsidR="003C62DF" w:rsidRDefault="00E56426">
      <w:pPr>
        <w:spacing w:before="160" w:after="100"/>
      </w:pPr>
      <w:r>
        <w:rPr>
          <w:b/>
          <w:bCs/>
          <w:color w:val="36221C"/>
        </w:rPr>
        <w:t>Page sections (in order)</w:t>
      </w:r>
    </w:p>
    <w:p w:rsidR="003C62DF" w:rsidRDefault="00E56426">
      <w:pPr>
        <w:pStyle w:val="ListParagraph"/>
        <w:numPr>
          <w:ilvl w:val="0"/>
          <w:numId w:val="2"/>
        </w:numPr>
        <w:spacing w:after="80" w:line="280" w:lineRule="auto"/>
      </w:pPr>
      <w:r>
        <w:rPr>
          <w:b/>
          <w:bCs/>
          <w:color w:val="1A1A1A"/>
        </w:rPr>
        <w:t xml:space="preserve">Intro block — </w:t>
      </w:r>
      <w:r>
        <w:rPr>
          <w:color w:val="1A1A1A"/>
        </w:rPr>
        <w:t>two sentences framing the hub as Ghana's practical library on rent and tenancy.</w:t>
      </w:r>
    </w:p>
    <w:p w:rsidR="003C62DF" w:rsidRDefault="00E56426">
      <w:pPr>
        <w:pStyle w:val="ListParagraph"/>
        <w:numPr>
          <w:ilvl w:val="0"/>
          <w:numId w:val="2"/>
        </w:numPr>
        <w:spacing w:after="80" w:line="280" w:lineRule="auto"/>
      </w:pPr>
      <w:r>
        <w:rPr>
          <w:b/>
          <w:bCs/>
          <w:color w:val="1A1A1A"/>
        </w:rPr>
        <w:t xml:space="preserve">Topic filter — </w:t>
      </w:r>
      <w:r>
        <w:rPr>
          <w:color w:val="1A1A1A"/>
        </w:rPr>
        <w:t>the five pillar topics as filter chips, each also linking to its hub page.</w:t>
      </w:r>
    </w:p>
    <w:p w:rsidR="003C62DF" w:rsidRDefault="00E56426">
      <w:pPr>
        <w:pStyle w:val="ListParagraph"/>
        <w:numPr>
          <w:ilvl w:val="0"/>
          <w:numId w:val="2"/>
        </w:numPr>
        <w:spacing w:after="80" w:line="280" w:lineRule="auto"/>
      </w:pPr>
      <w:r>
        <w:rPr>
          <w:b/>
          <w:bCs/>
          <w:color w:val="1A1A1A"/>
        </w:rPr>
        <w:t xml:space="preserve">Article grid — </w:t>
      </w:r>
      <w:r>
        <w:rPr>
          <w:color w:val="1A1A1A"/>
        </w:rPr>
        <w:t>title, topic tag, reading time, one-line dek. No author p</w:t>
      </w:r>
      <w:r>
        <w:rPr>
          <w:color w:val="1A1A1A"/>
        </w:rPr>
        <w:t>hotos — faceless brand.</w:t>
      </w:r>
    </w:p>
    <w:p w:rsidR="003C62DF" w:rsidRDefault="00E56426">
      <w:pPr>
        <w:pStyle w:val="ListParagraph"/>
        <w:numPr>
          <w:ilvl w:val="0"/>
          <w:numId w:val="2"/>
        </w:numPr>
        <w:spacing w:after="80" w:line="280" w:lineRule="auto"/>
      </w:pPr>
      <w:r>
        <w:rPr>
          <w:b/>
          <w:bCs/>
          <w:color w:val="1A1A1A"/>
        </w:rPr>
        <w:t xml:space="preserve">Subscribe band — </w:t>
      </w:r>
      <w:r>
        <w:rPr>
          <w:color w:val="1A1A1A"/>
        </w:rPr>
        <w:t>“Get new guidance the week it publishes” email capture.</w:t>
      </w:r>
    </w:p>
    <w:p w:rsidR="003C62DF" w:rsidRDefault="003C62DF">
      <w:pPr>
        <w:spacing w:after="4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62DF">
        <w:tblPrEx>
          <w:tblCellMar>
            <w:top w:w="0" w:type="dxa"/>
            <w:bottom w:w="0" w:type="dxa"/>
          </w:tblCellMar>
        </w:tblPrEx>
        <w:tc>
          <w:tcPr>
            <w:tcW w:w="9360" w:type="dxa"/>
            <w:tcBorders>
              <w:top w:val="single" w:sz="1" w:space="0" w:color="C9C2B8"/>
              <w:left w:val="single" w:sz="24" w:space="0" w:color="516984"/>
              <w:bottom w:val="single" w:sz="1" w:space="0" w:color="C9C2B8"/>
              <w:right w:val="single" w:sz="1" w:space="0" w:color="C9C2B8"/>
            </w:tcBorders>
            <w:shd w:val="clear" w:color="auto" w:fill="F4F1EC"/>
            <w:tcMar>
              <w:top w:w="120" w:type="dxa"/>
              <w:left w:w="160" w:type="dxa"/>
              <w:bottom w:w="120" w:type="dxa"/>
              <w:right w:w="160" w:type="dxa"/>
            </w:tcMar>
          </w:tcPr>
          <w:p w:rsidR="003C62DF" w:rsidRDefault="00E56426">
            <w:pPr>
              <w:spacing w:line="290" w:lineRule="auto"/>
            </w:pPr>
            <w:r>
              <w:rPr>
                <w:color w:val="36221C"/>
                <w:sz w:val="21"/>
                <w:szCs w:val="21"/>
              </w:rPr>
              <w:t>Every article carries the legal-information disclaimer above the fold or immediately after the introduction, plus a dated “last reviewed” stamp — review dates</w:t>
            </w:r>
            <w:r>
              <w:rPr>
                <w:color w:val="36221C"/>
                <w:sz w:val="21"/>
                <w:szCs w:val="21"/>
              </w:rPr>
              <w:t xml:space="preserve"> are a trust and freshness signal for both readers and search engines.</w:t>
            </w:r>
          </w:p>
        </w:tc>
      </w:tr>
    </w:tbl>
    <w:p w:rsidR="003C62DF" w:rsidRDefault="003C62DF">
      <w:pPr>
        <w:spacing w:after="120"/>
      </w:pPr>
    </w:p>
    <w:p w:rsidR="003C62DF" w:rsidRDefault="00E56426">
      <w:pPr>
        <w:pStyle w:val="Heading2"/>
      </w:pPr>
      <w:r>
        <w:t>B3. Resources (/resources/)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C62DF">
        <w:tblPrEx>
          <w:tblCellMar>
            <w:top w:w="0" w:type="dxa"/>
            <w:bottom w:w="0" w:type="dxa"/>
          </w:tblCellMar>
        </w:tblPrEx>
        <w:tc>
          <w:tcPr>
            <w:tcW w:w="2600" w:type="dxa"/>
            <w:tcBorders>
              <w:top w:val="single" w:sz="1" w:space="0" w:color="C9C2B8"/>
              <w:left w:val="single" w:sz="1" w:space="0" w:color="C9C2B8"/>
              <w:bottom w:val="single" w:sz="1" w:space="0" w:color="C9C2B8"/>
              <w:right w:val="single" w:sz="1" w:space="0" w:color="C9C2B8"/>
            </w:tcBorders>
            <w:shd w:val="clear" w:color="auto" w:fill="E9E4DC"/>
            <w:tcMar>
              <w:top w:w="80" w:type="dxa"/>
              <w:left w:w="120" w:type="dxa"/>
              <w:bottom w:w="80" w:type="dxa"/>
              <w:right w:w="120" w:type="dxa"/>
            </w:tcMar>
          </w:tcPr>
          <w:p w:rsidR="003C62DF" w:rsidRDefault="00E56426">
            <w:pPr>
              <w:spacing w:line="270" w:lineRule="auto"/>
            </w:pPr>
            <w:r>
              <w:rPr>
                <w:b/>
                <w:bCs/>
                <w:color w:val="36221C"/>
                <w:sz w:val="20"/>
                <w:szCs w:val="20"/>
              </w:rPr>
              <w:t>Primary audience</w:t>
            </w:r>
          </w:p>
        </w:tc>
        <w:tc>
          <w:tcPr>
            <w:tcW w:w="67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Tenants and landlords with an immediate, practical need</w:t>
            </w:r>
          </w:p>
        </w:tc>
      </w:tr>
      <w:tr w:rsidR="003C62DF">
        <w:tblPrEx>
          <w:tblCellMar>
            <w:top w:w="0" w:type="dxa"/>
            <w:bottom w:w="0" w:type="dxa"/>
          </w:tblCellMar>
        </w:tblPrEx>
        <w:tc>
          <w:tcPr>
            <w:tcW w:w="2600" w:type="dxa"/>
            <w:tcBorders>
              <w:top w:val="single" w:sz="1" w:space="0" w:color="C9C2B8"/>
              <w:left w:val="single" w:sz="1" w:space="0" w:color="C9C2B8"/>
              <w:bottom w:val="single" w:sz="1" w:space="0" w:color="C9C2B8"/>
              <w:right w:val="single" w:sz="1" w:space="0" w:color="C9C2B8"/>
            </w:tcBorders>
            <w:shd w:val="clear" w:color="auto" w:fill="E9E4DC"/>
            <w:tcMar>
              <w:top w:w="80" w:type="dxa"/>
              <w:left w:w="120" w:type="dxa"/>
              <w:bottom w:w="80" w:type="dxa"/>
              <w:right w:w="120" w:type="dxa"/>
            </w:tcMar>
          </w:tcPr>
          <w:p w:rsidR="003C62DF" w:rsidRDefault="00E56426">
            <w:pPr>
              <w:spacing w:line="270" w:lineRule="auto"/>
            </w:pPr>
            <w:r>
              <w:rPr>
                <w:b/>
                <w:bCs/>
                <w:color w:val="36221C"/>
                <w:sz w:val="20"/>
                <w:szCs w:val="20"/>
              </w:rPr>
              <w:t>Primary keywords</w:t>
            </w:r>
          </w:p>
        </w:tc>
        <w:tc>
          <w:tcPr>
            <w:tcW w:w="67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rent control office Ghana, rent control office near me, rent advance calculator Ghana</w:t>
            </w:r>
          </w:p>
        </w:tc>
      </w:tr>
      <w:tr w:rsidR="003C62DF">
        <w:tblPrEx>
          <w:tblCellMar>
            <w:top w:w="0" w:type="dxa"/>
            <w:bottom w:w="0" w:type="dxa"/>
          </w:tblCellMar>
        </w:tblPrEx>
        <w:tc>
          <w:tcPr>
            <w:tcW w:w="2600" w:type="dxa"/>
            <w:tcBorders>
              <w:top w:val="single" w:sz="1" w:space="0" w:color="C9C2B8"/>
              <w:left w:val="single" w:sz="1" w:space="0" w:color="C9C2B8"/>
              <w:bottom w:val="single" w:sz="1" w:space="0" w:color="C9C2B8"/>
              <w:right w:val="single" w:sz="1" w:space="0" w:color="C9C2B8"/>
            </w:tcBorders>
            <w:shd w:val="clear" w:color="auto" w:fill="E9E4DC"/>
            <w:tcMar>
              <w:top w:w="80" w:type="dxa"/>
              <w:left w:w="120" w:type="dxa"/>
              <w:bottom w:w="80" w:type="dxa"/>
              <w:right w:w="120" w:type="dxa"/>
            </w:tcMar>
          </w:tcPr>
          <w:p w:rsidR="003C62DF" w:rsidRDefault="00E56426">
            <w:pPr>
              <w:spacing w:line="270" w:lineRule="auto"/>
            </w:pPr>
            <w:r>
              <w:rPr>
                <w:b/>
                <w:bCs/>
                <w:color w:val="36221C"/>
                <w:sz w:val="20"/>
                <w:szCs w:val="20"/>
              </w:rPr>
              <w:t>Conversion goals</w:t>
            </w:r>
          </w:p>
        </w:tc>
        <w:tc>
          <w:tcPr>
            <w:tcW w:w="67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Tool use → email capture; directory use → brand trust; backlinks</w:t>
            </w:r>
          </w:p>
        </w:tc>
      </w:tr>
      <w:tr w:rsidR="003C62DF">
        <w:tblPrEx>
          <w:tblCellMar>
            <w:top w:w="0" w:type="dxa"/>
            <w:bottom w:w="0" w:type="dxa"/>
          </w:tblCellMar>
        </w:tblPrEx>
        <w:tc>
          <w:tcPr>
            <w:tcW w:w="2600" w:type="dxa"/>
            <w:tcBorders>
              <w:top w:val="single" w:sz="1" w:space="0" w:color="C9C2B8"/>
              <w:left w:val="single" w:sz="1" w:space="0" w:color="C9C2B8"/>
              <w:bottom w:val="single" w:sz="1" w:space="0" w:color="C9C2B8"/>
              <w:right w:val="single" w:sz="1" w:space="0" w:color="C9C2B8"/>
            </w:tcBorders>
            <w:shd w:val="clear" w:color="auto" w:fill="E9E4DC"/>
            <w:tcMar>
              <w:top w:w="80" w:type="dxa"/>
              <w:left w:w="120" w:type="dxa"/>
              <w:bottom w:w="80" w:type="dxa"/>
              <w:right w:w="120" w:type="dxa"/>
            </w:tcMar>
          </w:tcPr>
          <w:p w:rsidR="003C62DF" w:rsidRDefault="00E56426">
            <w:pPr>
              <w:spacing w:line="270" w:lineRule="auto"/>
            </w:pPr>
            <w:r>
              <w:rPr>
                <w:b/>
                <w:bCs/>
                <w:color w:val="36221C"/>
                <w:sz w:val="20"/>
                <w:szCs w:val="20"/>
              </w:rPr>
              <w:t>Crown asset</w:t>
            </w:r>
          </w:p>
        </w:tc>
        <w:tc>
          <w:tcPr>
            <w:tcW w:w="67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The nationwide Rent Control Department directory — 65 offices, 10 regions,</w:t>
            </w:r>
            <w:r>
              <w:rPr>
                <w:color w:val="1A1A1A"/>
                <w:sz w:val="20"/>
                <w:szCs w:val="20"/>
              </w:rPr>
              <w:t xml:space="preserve"> call numbers, GPS codes</w:t>
            </w:r>
          </w:p>
        </w:tc>
      </w:tr>
    </w:tbl>
    <w:p w:rsidR="003C62DF" w:rsidRDefault="003C62DF">
      <w:pPr>
        <w:spacing w:after="60"/>
      </w:pPr>
    </w:p>
    <w:p w:rsidR="003C62DF" w:rsidRDefault="00E56426">
      <w:pPr>
        <w:spacing w:before="160" w:after="100"/>
      </w:pPr>
      <w:r>
        <w:rPr>
          <w:b/>
          <w:bCs/>
          <w:color w:val="36221C"/>
        </w:rPr>
        <w:t>Page sections (in order)</w:t>
      </w:r>
    </w:p>
    <w:p w:rsidR="003C62DF" w:rsidRDefault="00E56426">
      <w:pPr>
        <w:pStyle w:val="ListParagraph"/>
        <w:numPr>
          <w:ilvl w:val="0"/>
          <w:numId w:val="2"/>
        </w:numPr>
        <w:spacing w:after="80" w:line="280" w:lineRule="auto"/>
      </w:pPr>
      <w:r>
        <w:rPr>
          <w:b/>
          <w:bCs/>
          <w:color w:val="1A1A1A"/>
        </w:rPr>
        <w:t xml:space="preserve">Directory — </w:t>
      </w:r>
      <w:r>
        <w:rPr>
          <w:color w:val="1A1A1A"/>
        </w:rPr>
        <w:t>filterable by region; each office row shows location, contact, GPS code. Invite corrections via a form — keeps the data alive and earns goodwill.</w:t>
      </w:r>
    </w:p>
    <w:p w:rsidR="003C62DF" w:rsidRDefault="00E56426">
      <w:pPr>
        <w:pStyle w:val="ListParagraph"/>
        <w:numPr>
          <w:ilvl w:val="0"/>
          <w:numId w:val="2"/>
        </w:numPr>
        <w:spacing w:after="80" w:line="280" w:lineRule="auto"/>
      </w:pPr>
      <w:r>
        <w:rPr>
          <w:b/>
          <w:bCs/>
          <w:color w:val="1A1A1A"/>
        </w:rPr>
        <w:t xml:space="preserve">Calculators — </w:t>
      </w:r>
      <w:r>
        <w:rPr>
          <w:color w:val="1A1A1A"/>
        </w:rPr>
        <w:t>rent advance calculator (advance</w:t>
      </w:r>
      <w:r>
        <w:rPr>
          <w:color w:val="1A1A1A"/>
        </w:rPr>
        <w:t xml:space="preserve"> period vs. Act 220 position) and notice period checker. Each ends with “Get the compliant document” product CTA.</w:t>
      </w:r>
    </w:p>
    <w:p w:rsidR="003C62DF" w:rsidRDefault="00E56426">
      <w:pPr>
        <w:pStyle w:val="ListParagraph"/>
        <w:numPr>
          <w:ilvl w:val="0"/>
          <w:numId w:val="2"/>
        </w:numPr>
        <w:spacing w:after="80" w:line="280" w:lineRule="auto"/>
      </w:pPr>
      <w:r>
        <w:rPr>
          <w:b/>
          <w:bCs/>
          <w:color w:val="1A1A1A"/>
        </w:rPr>
        <w:t xml:space="preserve">Free downloads — </w:t>
      </w:r>
      <w:r>
        <w:rPr>
          <w:color w:val="1A1A1A"/>
        </w:rPr>
        <w:t>the lead magnets, each behind a simple email gate.</w:t>
      </w:r>
    </w:p>
    <w:p w:rsidR="003C62DF" w:rsidRDefault="00E56426">
      <w:pPr>
        <w:pStyle w:val="ListParagraph"/>
        <w:numPr>
          <w:ilvl w:val="0"/>
          <w:numId w:val="2"/>
        </w:numPr>
        <w:spacing w:after="80" w:line="280" w:lineRule="auto"/>
      </w:pPr>
      <w:r>
        <w:rPr>
          <w:b/>
          <w:bCs/>
          <w:color w:val="1A1A1A"/>
        </w:rPr>
        <w:t xml:space="preserve">FAQs — </w:t>
      </w:r>
      <w:r>
        <w:rPr>
          <w:color w:val="1A1A1A"/>
        </w:rPr>
        <w:t>20–30 questions grouped by audience, marked up with FAQ structured data.</w:t>
      </w:r>
    </w:p>
    <w:p w:rsidR="003C62DF" w:rsidRDefault="003C62DF">
      <w:pPr>
        <w:spacing w:after="4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62DF">
        <w:tblPrEx>
          <w:tblCellMar>
            <w:top w:w="0" w:type="dxa"/>
            <w:bottom w:w="0" w:type="dxa"/>
          </w:tblCellMar>
        </w:tblPrEx>
        <w:tc>
          <w:tcPr>
            <w:tcW w:w="9360" w:type="dxa"/>
            <w:tcBorders>
              <w:top w:val="single" w:sz="1" w:space="0" w:color="C9C2B8"/>
              <w:left w:val="single" w:sz="24" w:space="0" w:color="516984"/>
              <w:bottom w:val="single" w:sz="1" w:space="0" w:color="C9C2B8"/>
              <w:right w:val="single" w:sz="1" w:space="0" w:color="C9C2B8"/>
            </w:tcBorders>
            <w:shd w:val="clear" w:color="auto" w:fill="F4F1EC"/>
            <w:tcMar>
              <w:top w:w="120" w:type="dxa"/>
              <w:left w:w="160" w:type="dxa"/>
              <w:bottom w:w="120" w:type="dxa"/>
              <w:right w:w="160" w:type="dxa"/>
            </w:tcMar>
          </w:tcPr>
          <w:p w:rsidR="003C62DF" w:rsidRDefault="00E56426">
            <w:pPr>
              <w:spacing w:line="290" w:lineRule="auto"/>
            </w:pPr>
            <w:r>
              <w:rPr>
                <w:color w:val="36221C"/>
                <w:sz w:val="21"/>
                <w:szCs w:val="21"/>
              </w:rPr>
              <w:t>The directory page is the most linkable asset PRC owns. When outreaching for backlinks (Ghanaian blogs, news sites, university housing pages), this is the page to pitch.</w:t>
            </w:r>
          </w:p>
        </w:tc>
      </w:tr>
    </w:tbl>
    <w:p w:rsidR="003C62DF" w:rsidRDefault="003C62DF">
      <w:pPr>
        <w:spacing w:after="120"/>
      </w:pPr>
    </w:p>
    <w:p w:rsidR="003C62DF" w:rsidRDefault="00E56426">
      <w:pPr>
        <w:pStyle w:val="Heading2"/>
      </w:pPr>
      <w:r>
        <w:lastRenderedPageBreak/>
        <w:t>B4. Digital Products (/products/ and /products/[slug]/)</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C62DF">
        <w:tblPrEx>
          <w:tblCellMar>
            <w:top w:w="0" w:type="dxa"/>
            <w:bottom w:w="0" w:type="dxa"/>
          </w:tblCellMar>
        </w:tblPrEx>
        <w:tc>
          <w:tcPr>
            <w:tcW w:w="2600" w:type="dxa"/>
            <w:tcBorders>
              <w:top w:val="single" w:sz="1" w:space="0" w:color="C9C2B8"/>
              <w:left w:val="single" w:sz="1" w:space="0" w:color="C9C2B8"/>
              <w:bottom w:val="single" w:sz="1" w:space="0" w:color="C9C2B8"/>
              <w:right w:val="single" w:sz="1" w:space="0" w:color="C9C2B8"/>
            </w:tcBorders>
            <w:shd w:val="clear" w:color="auto" w:fill="E9E4DC"/>
            <w:tcMar>
              <w:top w:w="80" w:type="dxa"/>
              <w:left w:w="120" w:type="dxa"/>
              <w:bottom w:w="80" w:type="dxa"/>
              <w:right w:w="120" w:type="dxa"/>
            </w:tcMar>
          </w:tcPr>
          <w:p w:rsidR="003C62DF" w:rsidRDefault="00E56426">
            <w:pPr>
              <w:spacing w:line="270" w:lineRule="auto"/>
            </w:pPr>
            <w:r>
              <w:rPr>
                <w:b/>
                <w:bCs/>
                <w:color w:val="36221C"/>
                <w:sz w:val="20"/>
                <w:szCs w:val="20"/>
              </w:rPr>
              <w:t>Primary audience</w:t>
            </w:r>
          </w:p>
        </w:tc>
        <w:tc>
          <w:tcPr>
            <w:tcW w:w="67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Solution-aware buyers; warm traffic from articles and social</w:t>
            </w:r>
          </w:p>
        </w:tc>
      </w:tr>
      <w:tr w:rsidR="003C62DF">
        <w:tblPrEx>
          <w:tblCellMar>
            <w:top w:w="0" w:type="dxa"/>
            <w:bottom w:w="0" w:type="dxa"/>
          </w:tblCellMar>
        </w:tblPrEx>
        <w:tc>
          <w:tcPr>
            <w:tcW w:w="2600" w:type="dxa"/>
            <w:tcBorders>
              <w:top w:val="single" w:sz="1" w:space="0" w:color="C9C2B8"/>
              <w:left w:val="single" w:sz="1" w:space="0" w:color="C9C2B8"/>
              <w:bottom w:val="single" w:sz="1" w:space="0" w:color="C9C2B8"/>
              <w:right w:val="single" w:sz="1" w:space="0" w:color="C9C2B8"/>
            </w:tcBorders>
            <w:shd w:val="clear" w:color="auto" w:fill="E9E4DC"/>
            <w:tcMar>
              <w:top w:w="80" w:type="dxa"/>
              <w:left w:w="120" w:type="dxa"/>
              <w:bottom w:w="80" w:type="dxa"/>
              <w:right w:w="120" w:type="dxa"/>
            </w:tcMar>
          </w:tcPr>
          <w:p w:rsidR="003C62DF" w:rsidRDefault="00E56426">
            <w:pPr>
              <w:spacing w:line="270" w:lineRule="auto"/>
            </w:pPr>
            <w:r>
              <w:rPr>
                <w:b/>
                <w:bCs/>
                <w:color w:val="36221C"/>
                <w:sz w:val="20"/>
                <w:szCs w:val="20"/>
              </w:rPr>
              <w:t>Primary keywords</w:t>
            </w:r>
          </w:p>
        </w:tc>
        <w:tc>
          <w:tcPr>
            <w:tcW w:w="67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tenancy agreement template Ghana, offer letter sample Ghana, commercial lease agreement Ghana</w:t>
            </w:r>
          </w:p>
        </w:tc>
      </w:tr>
      <w:tr w:rsidR="003C62DF">
        <w:tblPrEx>
          <w:tblCellMar>
            <w:top w:w="0" w:type="dxa"/>
            <w:bottom w:w="0" w:type="dxa"/>
          </w:tblCellMar>
        </w:tblPrEx>
        <w:tc>
          <w:tcPr>
            <w:tcW w:w="2600" w:type="dxa"/>
            <w:tcBorders>
              <w:top w:val="single" w:sz="1" w:space="0" w:color="C9C2B8"/>
              <w:left w:val="single" w:sz="1" w:space="0" w:color="C9C2B8"/>
              <w:bottom w:val="single" w:sz="1" w:space="0" w:color="C9C2B8"/>
              <w:right w:val="single" w:sz="1" w:space="0" w:color="C9C2B8"/>
            </w:tcBorders>
            <w:shd w:val="clear" w:color="auto" w:fill="E9E4DC"/>
            <w:tcMar>
              <w:top w:w="80" w:type="dxa"/>
              <w:left w:w="120" w:type="dxa"/>
              <w:bottom w:w="80" w:type="dxa"/>
              <w:right w:w="120" w:type="dxa"/>
            </w:tcMar>
          </w:tcPr>
          <w:p w:rsidR="003C62DF" w:rsidRDefault="00E56426">
            <w:pPr>
              <w:spacing w:line="270" w:lineRule="auto"/>
            </w:pPr>
            <w:r>
              <w:rPr>
                <w:b/>
                <w:bCs/>
                <w:color w:val="36221C"/>
                <w:sz w:val="20"/>
                <w:szCs w:val="20"/>
              </w:rPr>
              <w:t>Conversion goal</w:t>
            </w:r>
          </w:p>
        </w:tc>
        <w:tc>
          <w:tcPr>
            <w:tcW w:w="67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Click-through to Selar checkout (later: direct Paystack checkout to cut commission)</w:t>
            </w:r>
          </w:p>
        </w:tc>
      </w:tr>
      <w:tr w:rsidR="003C62DF">
        <w:tblPrEx>
          <w:tblCellMar>
            <w:top w:w="0" w:type="dxa"/>
            <w:bottom w:w="0" w:type="dxa"/>
          </w:tblCellMar>
        </w:tblPrEx>
        <w:tc>
          <w:tcPr>
            <w:tcW w:w="2600" w:type="dxa"/>
            <w:tcBorders>
              <w:top w:val="single" w:sz="1" w:space="0" w:color="C9C2B8"/>
              <w:left w:val="single" w:sz="1" w:space="0" w:color="C9C2B8"/>
              <w:bottom w:val="single" w:sz="1" w:space="0" w:color="C9C2B8"/>
              <w:right w:val="single" w:sz="1" w:space="0" w:color="C9C2B8"/>
            </w:tcBorders>
            <w:shd w:val="clear" w:color="auto" w:fill="E9E4DC"/>
            <w:tcMar>
              <w:top w:w="80" w:type="dxa"/>
              <w:left w:w="120" w:type="dxa"/>
              <w:bottom w:w="80" w:type="dxa"/>
              <w:right w:w="120" w:type="dxa"/>
            </w:tcMar>
          </w:tcPr>
          <w:p w:rsidR="003C62DF" w:rsidRDefault="00E56426">
            <w:pPr>
              <w:spacing w:line="270" w:lineRule="auto"/>
            </w:pPr>
            <w:r>
              <w:rPr>
                <w:b/>
                <w:bCs/>
                <w:color w:val="36221C"/>
                <w:sz w:val="20"/>
                <w:szCs w:val="20"/>
              </w:rPr>
              <w:t>Structure</w:t>
            </w:r>
          </w:p>
        </w:tc>
        <w:tc>
          <w:tcPr>
            <w:tcW w:w="67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Catalogue index grouped by category → one landing page per product</w:t>
            </w:r>
          </w:p>
        </w:tc>
      </w:tr>
    </w:tbl>
    <w:p w:rsidR="003C62DF" w:rsidRDefault="003C62DF">
      <w:pPr>
        <w:spacing w:after="60"/>
      </w:pPr>
    </w:p>
    <w:p w:rsidR="003C62DF" w:rsidRDefault="00E56426">
      <w:pPr>
        <w:spacing w:before="160" w:after="100"/>
      </w:pPr>
      <w:r>
        <w:rPr>
          <w:b/>
          <w:bCs/>
          <w:color w:val="36221C"/>
        </w:rPr>
        <w:t>Page sections (in order)</w:t>
      </w:r>
    </w:p>
    <w:p w:rsidR="003C62DF" w:rsidRDefault="00E56426">
      <w:pPr>
        <w:pStyle w:val="ListParagraph"/>
        <w:numPr>
          <w:ilvl w:val="0"/>
          <w:numId w:val="2"/>
        </w:numPr>
        <w:spacing w:after="80" w:line="280" w:lineRule="auto"/>
      </w:pPr>
      <w:r>
        <w:rPr>
          <w:b/>
          <w:bCs/>
          <w:color w:val="1A1A1A"/>
        </w:rPr>
        <w:t xml:space="preserve">Catalogue index — </w:t>
      </w:r>
      <w:r>
        <w:rPr>
          <w:color w:val="1A1A1A"/>
        </w:rPr>
        <w:t>category sections, each product c</w:t>
      </w:r>
      <w:r>
        <w:rPr>
          <w:color w:val="1A1A1A"/>
        </w:rPr>
        <w:t>ard showing name, code (e.g. PRC-TA-RES-01), one-line problem statement, price, “View details”.</w:t>
      </w:r>
    </w:p>
    <w:p w:rsidR="003C62DF" w:rsidRDefault="00E56426">
      <w:pPr>
        <w:pStyle w:val="ListParagraph"/>
        <w:numPr>
          <w:ilvl w:val="0"/>
          <w:numId w:val="2"/>
        </w:numPr>
        <w:spacing w:after="80" w:line="280" w:lineRule="auto"/>
      </w:pPr>
      <w:r>
        <w:rPr>
          <w:b/>
          <w:bCs/>
          <w:color w:val="1A1A1A"/>
        </w:rPr>
        <w:t xml:space="preserve">Product landing page template — </w:t>
      </w:r>
      <w:r>
        <w:rPr>
          <w:color w:val="1A1A1A"/>
        </w:rPr>
        <w:t>problem the product solves → what's inside (clause-by-clause contents list) → who it's for → Rent Act compliance notes citing th</w:t>
      </w:r>
      <w:r>
        <w:rPr>
          <w:color w:val="1A1A1A"/>
        </w:rPr>
        <w:t>e specific sections → one or two preview pages as images → buy button → related articles → related products.</w:t>
      </w:r>
    </w:p>
    <w:p w:rsidR="003C62DF" w:rsidRDefault="00E56426">
      <w:pPr>
        <w:pStyle w:val="ListParagraph"/>
        <w:numPr>
          <w:ilvl w:val="0"/>
          <w:numId w:val="2"/>
        </w:numPr>
        <w:spacing w:after="80" w:line="280" w:lineRule="auto"/>
      </w:pPr>
      <w:r>
        <w:rPr>
          <w:b/>
          <w:bCs/>
          <w:color w:val="1A1A1A"/>
        </w:rPr>
        <w:t xml:space="preserve">Trust block — </w:t>
      </w:r>
      <w:r>
        <w:rPr>
          <w:color w:val="1A1A1A"/>
        </w:rPr>
        <w:t>the brand promise: grounded in Act 220 and L.I. 369, shaped by frontline rent administration.</w:t>
      </w:r>
    </w:p>
    <w:p w:rsidR="003C62DF" w:rsidRDefault="00E56426">
      <w:pPr>
        <w:pStyle w:val="ListParagraph"/>
        <w:numPr>
          <w:ilvl w:val="0"/>
          <w:numId w:val="2"/>
        </w:numPr>
        <w:spacing w:after="80" w:line="280" w:lineRule="auto"/>
      </w:pPr>
      <w:r>
        <w:rPr>
          <w:b/>
          <w:bCs/>
          <w:color w:val="1A1A1A"/>
        </w:rPr>
        <w:t xml:space="preserve">FAQ accordion — </w:t>
      </w:r>
      <w:r>
        <w:rPr>
          <w:color w:val="1A1A1A"/>
        </w:rPr>
        <w:t>format, delivery, editing rights, refund position — reduces pre-purchase WhatsApp questions.</w:t>
      </w:r>
    </w:p>
    <w:p w:rsidR="003C62DF" w:rsidRDefault="003C62DF">
      <w:pPr>
        <w:spacing w:after="4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62DF">
        <w:tblPrEx>
          <w:tblCellMar>
            <w:top w:w="0" w:type="dxa"/>
            <w:bottom w:w="0" w:type="dxa"/>
          </w:tblCellMar>
        </w:tblPrEx>
        <w:tc>
          <w:tcPr>
            <w:tcW w:w="9360" w:type="dxa"/>
            <w:tcBorders>
              <w:top w:val="single" w:sz="1" w:space="0" w:color="C9C2B8"/>
              <w:left w:val="single" w:sz="24" w:space="0" w:color="516984"/>
              <w:bottom w:val="single" w:sz="1" w:space="0" w:color="C9C2B8"/>
              <w:right w:val="single" w:sz="1" w:space="0" w:color="C9C2B8"/>
            </w:tcBorders>
            <w:shd w:val="clear" w:color="auto" w:fill="F4F1EC"/>
            <w:tcMar>
              <w:top w:w="120" w:type="dxa"/>
              <w:left w:w="160" w:type="dxa"/>
              <w:bottom w:w="120" w:type="dxa"/>
              <w:right w:w="160" w:type="dxa"/>
            </w:tcMar>
          </w:tcPr>
          <w:p w:rsidR="003C62DF" w:rsidRDefault="00E56426">
            <w:pPr>
              <w:spacing w:line="290" w:lineRule="auto"/>
            </w:pPr>
            <w:r>
              <w:rPr>
                <w:color w:val="36221C"/>
                <w:sz w:val="21"/>
                <w:szCs w:val="21"/>
              </w:rPr>
              <w:t>Each landing page targets one commercial keyword and can rank independently. The page title pattern: “[Product Name] — Act 220-Compliant Template for Ghana | PRC”</w:t>
            </w:r>
            <w:r>
              <w:rPr>
                <w:color w:val="36221C"/>
                <w:sz w:val="21"/>
                <w:szCs w:val="21"/>
              </w:rPr>
              <w:t>.</w:t>
            </w:r>
          </w:p>
        </w:tc>
      </w:tr>
    </w:tbl>
    <w:p w:rsidR="003C62DF" w:rsidRDefault="003C62DF">
      <w:pPr>
        <w:spacing w:after="120"/>
      </w:pPr>
    </w:p>
    <w:p w:rsidR="003C62DF" w:rsidRDefault="00E56426">
      <w:pPr>
        <w:pStyle w:val="Heading2"/>
      </w:pPr>
      <w:r>
        <w:t>B5. Consultations &amp; Services (/services/)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C62DF">
        <w:tblPrEx>
          <w:tblCellMar>
            <w:top w:w="0" w:type="dxa"/>
            <w:bottom w:w="0" w:type="dxa"/>
          </w:tblCellMar>
        </w:tblPrEx>
        <w:tc>
          <w:tcPr>
            <w:tcW w:w="2600" w:type="dxa"/>
            <w:tcBorders>
              <w:top w:val="single" w:sz="1" w:space="0" w:color="C9C2B8"/>
              <w:left w:val="single" w:sz="1" w:space="0" w:color="C9C2B8"/>
              <w:bottom w:val="single" w:sz="1" w:space="0" w:color="C9C2B8"/>
              <w:right w:val="single" w:sz="1" w:space="0" w:color="C9C2B8"/>
            </w:tcBorders>
            <w:shd w:val="clear" w:color="auto" w:fill="E9E4DC"/>
            <w:tcMar>
              <w:top w:w="80" w:type="dxa"/>
              <w:left w:w="120" w:type="dxa"/>
              <w:bottom w:w="80" w:type="dxa"/>
              <w:right w:w="120" w:type="dxa"/>
            </w:tcMar>
          </w:tcPr>
          <w:p w:rsidR="003C62DF" w:rsidRDefault="00E56426">
            <w:pPr>
              <w:spacing w:line="270" w:lineRule="auto"/>
            </w:pPr>
            <w:r>
              <w:rPr>
                <w:b/>
                <w:bCs/>
                <w:color w:val="36221C"/>
                <w:sz w:val="20"/>
                <w:szCs w:val="20"/>
              </w:rPr>
              <w:t>Primary audience</w:t>
            </w:r>
          </w:p>
        </w:tc>
        <w:tc>
          <w:tcPr>
            <w:tcW w:w="67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Landlords and professionals with non-trivial problems; highest revenue per conversion</w:t>
            </w:r>
          </w:p>
        </w:tc>
      </w:tr>
      <w:tr w:rsidR="003C62DF">
        <w:tblPrEx>
          <w:tblCellMar>
            <w:top w:w="0" w:type="dxa"/>
            <w:bottom w:w="0" w:type="dxa"/>
          </w:tblCellMar>
        </w:tblPrEx>
        <w:tc>
          <w:tcPr>
            <w:tcW w:w="2600" w:type="dxa"/>
            <w:tcBorders>
              <w:top w:val="single" w:sz="1" w:space="0" w:color="C9C2B8"/>
              <w:left w:val="single" w:sz="1" w:space="0" w:color="C9C2B8"/>
              <w:bottom w:val="single" w:sz="1" w:space="0" w:color="C9C2B8"/>
              <w:right w:val="single" w:sz="1" w:space="0" w:color="C9C2B8"/>
            </w:tcBorders>
            <w:shd w:val="clear" w:color="auto" w:fill="E9E4DC"/>
            <w:tcMar>
              <w:top w:w="80" w:type="dxa"/>
              <w:left w:w="120" w:type="dxa"/>
              <w:bottom w:w="80" w:type="dxa"/>
              <w:right w:w="120" w:type="dxa"/>
            </w:tcMar>
          </w:tcPr>
          <w:p w:rsidR="003C62DF" w:rsidRDefault="00E56426">
            <w:pPr>
              <w:spacing w:line="270" w:lineRule="auto"/>
            </w:pPr>
            <w:r>
              <w:rPr>
                <w:b/>
                <w:bCs/>
                <w:color w:val="36221C"/>
                <w:sz w:val="20"/>
                <w:szCs w:val="20"/>
              </w:rPr>
              <w:t>Primary keywords</w:t>
            </w:r>
          </w:p>
        </w:tc>
        <w:tc>
          <w:tcPr>
            <w:tcW w:w="67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rent consultant Ghana, tenancy documentation review Ghana, landlord compliance audit Ghana</w:t>
            </w:r>
          </w:p>
        </w:tc>
      </w:tr>
      <w:tr w:rsidR="003C62DF">
        <w:tblPrEx>
          <w:tblCellMar>
            <w:top w:w="0" w:type="dxa"/>
            <w:bottom w:w="0" w:type="dxa"/>
          </w:tblCellMar>
        </w:tblPrEx>
        <w:tc>
          <w:tcPr>
            <w:tcW w:w="2600" w:type="dxa"/>
            <w:tcBorders>
              <w:top w:val="single" w:sz="1" w:space="0" w:color="C9C2B8"/>
              <w:left w:val="single" w:sz="1" w:space="0" w:color="C9C2B8"/>
              <w:bottom w:val="single" w:sz="1" w:space="0" w:color="C9C2B8"/>
              <w:right w:val="single" w:sz="1" w:space="0" w:color="C9C2B8"/>
            </w:tcBorders>
            <w:shd w:val="clear" w:color="auto" w:fill="E9E4DC"/>
            <w:tcMar>
              <w:top w:w="80" w:type="dxa"/>
              <w:left w:w="120" w:type="dxa"/>
              <w:bottom w:w="80" w:type="dxa"/>
              <w:right w:w="120" w:type="dxa"/>
            </w:tcMar>
          </w:tcPr>
          <w:p w:rsidR="003C62DF" w:rsidRDefault="00E56426">
            <w:pPr>
              <w:spacing w:line="270" w:lineRule="auto"/>
            </w:pPr>
            <w:r>
              <w:rPr>
                <w:b/>
                <w:bCs/>
                <w:color w:val="36221C"/>
                <w:sz w:val="20"/>
                <w:szCs w:val="20"/>
              </w:rPr>
              <w:t>Conversion goal</w:t>
            </w:r>
          </w:p>
        </w:tc>
        <w:tc>
          <w:tcPr>
            <w:tcW w:w="67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Booking form submission or WhatsApp conversation started</w:t>
            </w:r>
          </w:p>
        </w:tc>
      </w:tr>
      <w:tr w:rsidR="003C62DF">
        <w:tblPrEx>
          <w:tblCellMar>
            <w:top w:w="0" w:type="dxa"/>
            <w:bottom w:w="0" w:type="dxa"/>
          </w:tblCellMar>
        </w:tblPrEx>
        <w:tc>
          <w:tcPr>
            <w:tcW w:w="2600" w:type="dxa"/>
            <w:tcBorders>
              <w:top w:val="single" w:sz="1" w:space="0" w:color="C9C2B8"/>
              <w:left w:val="single" w:sz="1" w:space="0" w:color="C9C2B8"/>
              <w:bottom w:val="single" w:sz="1" w:space="0" w:color="C9C2B8"/>
              <w:right w:val="single" w:sz="1" w:space="0" w:color="C9C2B8"/>
            </w:tcBorders>
            <w:shd w:val="clear" w:color="auto" w:fill="E9E4DC"/>
            <w:tcMar>
              <w:top w:w="80" w:type="dxa"/>
              <w:left w:w="120" w:type="dxa"/>
              <w:bottom w:w="80" w:type="dxa"/>
              <w:right w:w="120" w:type="dxa"/>
            </w:tcMar>
          </w:tcPr>
          <w:p w:rsidR="003C62DF" w:rsidRDefault="00E56426">
            <w:pPr>
              <w:spacing w:line="270" w:lineRule="auto"/>
            </w:pPr>
            <w:r>
              <w:rPr>
                <w:b/>
                <w:bCs/>
                <w:color w:val="36221C"/>
                <w:sz w:val="20"/>
                <w:szCs w:val="20"/>
              </w:rPr>
              <w:t>Pricing approach</w:t>
            </w:r>
          </w:p>
        </w:tc>
        <w:tc>
          <w:tcPr>
            <w:tcW w:w="67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“From GHS X” transparency — filters out non-buyers before they consume ti</w:t>
            </w:r>
            <w:r>
              <w:rPr>
                <w:color w:val="1A1A1A"/>
                <w:sz w:val="20"/>
                <w:szCs w:val="20"/>
              </w:rPr>
              <w:t>me</w:t>
            </w:r>
          </w:p>
        </w:tc>
      </w:tr>
    </w:tbl>
    <w:p w:rsidR="003C62DF" w:rsidRDefault="003C62DF">
      <w:pPr>
        <w:spacing w:after="60"/>
      </w:pPr>
    </w:p>
    <w:p w:rsidR="003C62DF" w:rsidRDefault="00E56426">
      <w:pPr>
        <w:spacing w:before="160" w:after="100"/>
      </w:pPr>
      <w:r>
        <w:rPr>
          <w:b/>
          <w:bCs/>
          <w:color w:val="36221C"/>
        </w:rPr>
        <w:t>Page sections (in order)</w:t>
      </w:r>
    </w:p>
    <w:p w:rsidR="003C62DF" w:rsidRDefault="00E56426">
      <w:pPr>
        <w:pStyle w:val="ListParagraph"/>
        <w:numPr>
          <w:ilvl w:val="0"/>
          <w:numId w:val="2"/>
        </w:numPr>
        <w:spacing w:after="80" w:line="280" w:lineRule="auto"/>
      </w:pPr>
      <w:r>
        <w:rPr>
          <w:b/>
          <w:bCs/>
          <w:color w:val="1A1A1A"/>
        </w:rPr>
        <w:t xml:space="preserve">Service menu — </w:t>
      </w:r>
      <w:r>
        <w:rPr>
          <w:color w:val="1A1A1A"/>
        </w:rPr>
        <w:t>four offers: rent assessment advisory · tenancy documentation review · landlord compliance audit · dispute guidance. Each: who it's for, what's delivered, from-price, turnaround.</w:t>
      </w:r>
    </w:p>
    <w:p w:rsidR="003C62DF" w:rsidRDefault="00E56426">
      <w:pPr>
        <w:pStyle w:val="ListParagraph"/>
        <w:numPr>
          <w:ilvl w:val="0"/>
          <w:numId w:val="2"/>
        </w:numPr>
        <w:spacing w:after="80" w:line="280" w:lineRule="auto"/>
      </w:pPr>
      <w:r>
        <w:rPr>
          <w:b/>
          <w:bCs/>
          <w:color w:val="1A1A1A"/>
        </w:rPr>
        <w:lastRenderedPageBreak/>
        <w:t xml:space="preserve">How it works — </w:t>
      </w:r>
      <w:r>
        <w:rPr>
          <w:color w:val="1A1A1A"/>
        </w:rPr>
        <w:t>three steps: send</w:t>
      </w:r>
      <w:r>
        <w:rPr>
          <w:color w:val="1A1A1A"/>
        </w:rPr>
        <w:t xml:space="preserve"> your situation → receive scope and quote → written advisory delivered.</w:t>
      </w:r>
    </w:p>
    <w:p w:rsidR="003C62DF" w:rsidRDefault="00E56426">
      <w:pPr>
        <w:pStyle w:val="ListParagraph"/>
        <w:numPr>
          <w:ilvl w:val="0"/>
          <w:numId w:val="2"/>
        </w:numPr>
        <w:spacing w:after="80" w:line="280" w:lineRule="auto"/>
      </w:pPr>
      <w:r>
        <w:rPr>
          <w:b/>
          <w:bCs/>
          <w:color w:val="1A1A1A"/>
        </w:rPr>
        <w:t xml:space="preserve">Booking — </w:t>
      </w:r>
      <w:r>
        <w:rPr>
          <w:color w:val="1A1A1A"/>
        </w:rPr>
        <w:t>short form (name, email, WhatsApp number, service, brief description) plus WhatsApp click-to-chat as the primary path — it converts far better than forms in the Ghanaian market.</w:t>
      </w:r>
    </w:p>
    <w:p w:rsidR="003C62DF" w:rsidRDefault="00E56426">
      <w:pPr>
        <w:pStyle w:val="ListParagraph"/>
        <w:numPr>
          <w:ilvl w:val="0"/>
          <w:numId w:val="2"/>
        </w:numPr>
        <w:spacing w:after="80" w:line="280" w:lineRule="auto"/>
      </w:pPr>
      <w:r>
        <w:rPr>
          <w:b/>
          <w:bCs/>
          <w:color w:val="1A1A1A"/>
        </w:rPr>
        <w:t xml:space="preserve">Boundaries block — </w:t>
      </w:r>
      <w:r>
        <w:rPr>
          <w:color w:val="1A1A1A"/>
        </w:rPr>
        <w:t>explicit scope statement: PRC advises and documents; it doe</w:t>
      </w:r>
      <w:r>
        <w:rPr>
          <w:color w:val="1A1A1A"/>
        </w:rPr>
        <w:t>s not appear or represent parties in Rent Control proceedings. This protects the public-office separation.</w:t>
      </w:r>
    </w:p>
    <w:p w:rsidR="003C62DF" w:rsidRDefault="003C62DF">
      <w:pPr>
        <w:spacing w:after="4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62DF">
        <w:tblPrEx>
          <w:tblCellMar>
            <w:top w:w="0" w:type="dxa"/>
            <w:bottom w:w="0" w:type="dxa"/>
          </w:tblCellMar>
        </w:tblPrEx>
        <w:tc>
          <w:tcPr>
            <w:tcW w:w="9360" w:type="dxa"/>
            <w:tcBorders>
              <w:top w:val="single" w:sz="1" w:space="0" w:color="C9C2B8"/>
              <w:left w:val="single" w:sz="24" w:space="0" w:color="516984"/>
              <w:bottom w:val="single" w:sz="1" w:space="0" w:color="C9C2B8"/>
              <w:right w:val="single" w:sz="1" w:space="0" w:color="C9C2B8"/>
            </w:tcBorders>
            <w:shd w:val="clear" w:color="auto" w:fill="F4F1EC"/>
            <w:tcMar>
              <w:top w:w="120" w:type="dxa"/>
              <w:left w:w="160" w:type="dxa"/>
              <w:bottom w:w="120" w:type="dxa"/>
              <w:right w:w="160" w:type="dxa"/>
            </w:tcMar>
          </w:tcPr>
          <w:p w:rsidR="003C62DF" w:rsidRDefault="00E56426">
            <w:pPr>
              <w:spacing w:line="290" w:lineRule="auto"/>
            </w:pPr>
            <w:r>
              <w:rPr>
                <w:color w:val="36221C"/>
                <w:sz w:val="21"/>
                <w:szCs w:val="21"/>
              </w:rPr>
              <w:t>The conflict-of-interest framing matters most on this page. The boundaries block is not legal decoration — it is the structural separation between t</w:t>
            </w:r>
            <w:r>
              <w:rPr>
                <w:color w:val="36221C"/>
                <w:sz w:val="21"/>
                <w:szCs w:val="21"/>
              </w:rPr>
              <w:t>he commercial brand and the statutory role, and should be reviewed against Civil Service code-of-conduct rules before launch.</w:t>
            </w:r>
          </w:p>
        </w:tc>
      </w:tr>
    </w:tbl>
    <w:p w:rsidR="003C62DF" w:rsidRDefault="003C62DF">
      <w:pPr>
        <w:spacing w:after="120"/>
      </w:pPr>
    </w:p>
    <w:p w:rsidR="003C62DF" w:rsidRDefault="00E56426">
      <w:pPr>
        <w:pStyle w:val="Heading2"/>
      </w:pPr>
      <w:r>
        <w:t>B6. About PRC (/about/)</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C62DF">
        <w:tblPrEx>
          <w:tblCellMar>
            <w:top w:w="0" w:type="dxa"/>
            <w:bottom w:w="0" w:type="dxa"/>
          </w:tblCellMar>
        </w:tblPrEx>
        <w:tc>
          <w:tcPr>
            <w:tcW w:w="2600" w:type="dxa"/>
            <w:tcBorders>
              <w:top w:val="single" w:sz="1" w:space="0" w:color="C9C2B8"/>
              <w:left w:val="single" w:sz="1" w:space="0" w:color="C9C2B8"/>
              <w:bottom w:val="single" w:sz="1" w:space="0" w:color="C9C2B8"/>
              <w:right w:val="single" w:sz="1" w:space="0" w:color="C9C2B8"/>
            </w:tcBorders>
            <w:shd w:val="clear" w:color="auto" w:fill="E9E4DC"/>
            <w:tcMar>
              <w:top w:w="80" w:type="dxa"/>
              <w:left w:w="120" w:type="dxa"/>
              <w:bottom w:w="80" w:type="dxa"/>
              <w:right w:w="120" w:type="dxa"/>
            </w:tcMar>
          </w:tcPr>
          <w:p w:rsidR="003C62DF" w:rsidRDefault="00E56426">
            <w:pPr>
              <w:spacing w:line="270" w:lineRule="auto"/>
            </w:pPr>
            <w:r>
              <w:rPr>
                <w:b/>
                <w:bCs/>
                <w:color w:val="36221C"/>
                <w:sz w:val="20"/>
                <w:szCs w:val="20"/>
              </w:rPr>
              <w:t>Primary audience</w:t>
            </w:r>
          </w:p>
        </w:tc>
        <w:tc>
          <w:tcPr>
            <w:tcW w:w="67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Pre-purchase sceptics googling PRC before paying</w:t>
            </w:r>
          </w:p>
        </w:tc>
      </w:tr>
      <w:tr w:rsidR="003C62DF">
        <w:tblPrEx>
          <w:tblCellMar>
            <w:top w:w="0" w:type="dxa"/>
            <w:bottom w:w="0" w:type="dxa"/>
          </w:tblCellMar>
        </w:tblPrEx>
        <w:tc>
          <w:tcPr>
            <w:tcW w:w="2600" w:type="dxa"/>
            <w:tcBorders>
              <w:top w:val="single" w:sz="1" w:space="0" w:color="C9C2B8"/>
              <w:left w:val="single" w:sz="1" w:space="0" w:color="C9C2B8"/>
              <w:bottom w:val="single" w:sz="1" w:space="0" w:color="C9C2B8"/>
              <w:right w:val="single" w:sz="1" w:space="0" w:color="C9C2B8"/>
            </w:tcBorders>
            <w:shd w:val="clear" w:color="auto" w:fill="E9E4DC"/>
            <w:tcMar>
              <w:top w:w="80" w:type="dxa"/>
              <w:left w:w="120" w:type="dxa"/>
              <w:bottom w:w="80" w:type="dxa"/>
              <w:right w:w="120" w:type="dxa"/>
            </w:tcMar>
          </w:tcPr>
          <w:p w:rsidR="003C62DF" w:rsidRDefault="00E56426">
            <w:pPr>
              <w:spacing w:line="270" w:lineRule="auto"/>
            </w:pPr>
            <w:r>
              <w:rPr>
                <w:b/>
                <w:bCs/>
                <w:color w:val="36221C"/>
                <w:sz w:val="20"/>
                <w:szCs w:val="20"/>
              </w:rPr>
              <w:t>Primary keyword</w:t>
            </w:r>
          </w:p>
        </w:tc>
        <w:tc>
          <w:tcPr>
            <w:tcW w:w="67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property and rent consult (brand defence)</w:t>
            </w:r>
          </w:p>
        </w:tc>
      </w:tr>
      <w:tr w:rsidR="003C62DF">
        <w:tblPrEx>
          <w:tblCellMar>
            <w:top w:w="0" w:type="dxa"/>
            <w:bottom w:w="0" w:type="dxa"/>
          </w:tblCellMar>
        </w:tblPrEx>
        <w:tc>
          <w:tcPr>
            <w:tcW w:w="2600" w:type="dxa"/>
            <w:tcBorders>
              <w:top w:val="single" w:sz="1" w:space="0" w:color="C9C2B8"/>
              <w:left w:val="single" w:sz="1" w:space="0" w:color="C9C2B8"/>
              <w:bottom w:val="single" w:sz="1" w:space="0" w:color="C9C2B8"/>
              <w:right w:val="single" w:sz="1" w:space="0" w:color="C9C2B8"/>
            </w:tcBorders>
            <w:shd w:val="clear" w:color="auto" w:fill="E9E4DC"/>
            <w:tcMar>
              <w:top w:w="80" w:type="dxa"/>
              <w:left w:w="120" w:type="dxa"/>
              <w:bottom w:w="80" w:type="dxa"/>
              <w:right w:w="120" w:type="dxa"/>
            </w:tcMar>
          </w:tcPr>
          <w:p w:rsidR="003C62DF" w:rsidRDefault="00E56426">
            <w:pPr>
              <w:spacing w:line="270" w:lineRule="auto"/>
            </w:pPr>
            <w:r>
              <w:rPr>
                <w:b/>
                <w:bCs/>
                <w:color w:val="36221C"/>
                <w:sz w:val="20"/>
                <w:szCs w:val="20"/>
              </w:rPr>
              <w:t>Conversion goal</w:t>
            </w:r>
          </w:p>
        </w:tc>
        <w:tc>
          <w:tcPr>
            <w:tcW w:w="67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Return the visitor to the product or services page with objections resolved</w:t>
            </w:r>
          </w:p>
        </w:tc>
      </w:tr>
      <w:tr w:rsidR="003C62DF">
        <w:tblPrEx>
          <w:tblCellMar>
            <w:top w:w="0" w:type="dxa"/>
            <w:bottom w:w="0" w:type="dxa"/>
          </w:tblCellMar>
        </w:tblPrEx>
        <w:tc>
          <w:tcPr>
            <w:tcW w:w="2600" w:type="dxa"/>
            <w:tcBorders>
              <w:top w:val="single" w:sz="1" w:space="0" w:color="C9C2B8"/>
              <w:left w:val="single" w:sz="1" w:space="0" w:color="C9C2B8"/>
              <w:bottom w:val="single" w:sz="1" w:space="0" w:color="C9C2B8"/>
              <w:right w:val="single" w:sz="1" w:space="0" w:color="C9C2B8"/>
            </w:tcBorders>
            <w:shd w:val="clear" w:color="auto" w:fill="E9E4DC"/>
            <w:tcMar>
              <w:top w:w="80" w:type="dxa"/>
              <w:left w:w="120" w:type="dxa"/>
              <w:bottom w:w="80" w:type="dxa"/>
              <w:right w:w="120" w:type="dxa"/>
            </w:tcMar>
          </w:tcPr>
          <w:p w:rsidR="003C62DF" w:rsidRDefault="00E56426">
            <w:pPr>
              <w:spacing w:line="270" w:lineRule="auto"/>
            </w:pPr>
            <w:r>
              <w:rPr>
                <w:b/>
                <w:bCs/>
                <w:color w:val="36221C"/>
                <w:sz w:val="20"/>
                <w:szCs w:val="20"/>
              </w:rPr>
              <w:t>Voice</w:t>
            </w:r>
          </w:p>
        </w:tc>
        <w:tc>
          <w:tcPr>
            <w:tcW w:w="67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Institutional — the team and the company, never a personal brand</w:t>
            </w:r>
          </w:p>
        </w:tc>
      </w:tr>
    </w:tbl>
    <w:p w:rsidR="003C62DF" w:rsidRDefault="003C62DF">
      <w:pPr>
        <w:spacing w:after="60"/>
      </w:pPr>
    </w:p>
    <w:p w:rsidR="003C62DF" w:rsidRDefault="00E56426">
      <w:pPr>
        <w:spacing w:before="160" w:after="100"/>
      </w:pPr>
      <w:r>
        <w:rPr>
          <w:b/>
          <w:bCs/>
          <w:color w:val="36221C"/>
        </w:rPr>
        <w:t>Page sections (in order)</w:t>
      </w:r>
    </w:p>
    <w:p w:rsidR="003C62DF" w:rsidRDefault="00E56426">
      <w:pPr>
        <w:pStyle w:val="ListParagraph"/>
        <w:numPr>
          <w:ilvl w:val="0"/>
          <w:numId w:val="2"/>
        </w:numPr>
        <w:spacing w:after="80" w:line="280" w:lineRule="auto"/>
      </w:pPr>
      <w:r>
        <w:rPr>
          <w:b/>
          <w:bCs/>
          <w:color w:val="1A1A1A"/>
        </w:rPr>
        <w:t xml:space="preserve">Brand story — </w:t>
      </w:r>
      <w:r>
        <w:rPr>
          <w:color w:val="1A1A1A"/>
        </w:rPr>
        <w:t>why PRC exists: the gap between what the law provides and what landlords and tenants actually sign.</w:t>
      </w:r>
    </w:p>
    <w:p w:rsidR="003C62DF" w:rsidRDefault="00E56426">
      <w:pPr>
        <w:pStyle w:val="ListParagraph"/>
        <w:numPr>
          <w:ilvl w:val="0"/>
          <w:numId w:val="2"/>
        </w:numPr>
        <w:spacing w:after="80" w:line="280" w:lineRule="auto"/>
      </w:pPr>
      <w:r>
        <w:rPr>
          <w:b/>
          <w:bCs/>
          <w:color w:val="1A1A1A"/>
        </w:rPr>
        <w:t xml:space="preserve">ALPINE values — </w:t>
      </w:r>
      <w:r>
        <w:rPr>
          <w:color w:val="1A1A1A"/>
        </w:rPr>
        <w:t>Accountability, Loyalty to Clients, Professionalism, Integrity, Novel Approaches, Excellence — one line each.</w:t>
      </w:r>
    </w:p>
    <w:p w:rsidR="003C62DF" w:rsidRDefault="00E56426">
      <w:pPr>
        <w:pStyle w:val="ListParagraph"/>
        <w:numPr>
          <w:ilvl w:val="0"/>
          <w:numId w:val="2"/>
        </w:numPr>
        <w:spacing w:after="80" w:line="280" w:lineRule="auto"/>
      </w:pPr>
      <w:r>
        <w:rPr>
          <w:b/>
          <w:bCs/>
          <w:color w:val="1A1A1A"/>
        </w:rPr>
        <w:t xml:space="preserve">Credentials — </w:t>
      </w:r>
      <w:r>
        <w:rPr>
          <w:color w:val="1A1A1A"/>
        </w:rPr>
        <w:t>professional qualifications behind the products (MGhIS, Land Economy, MSc Procurement) framed as the company's professional foundation.</w:t>
      </w:r>
    </w:p>
    <w:p w:rsidR="003C62DF" w:rsidRDefault="00E56426">
      <w:pPr>
        <w:pStyle w:val="ListParagraph"/>
        <w:numPr>
          <w:ilvl w:val="0"/>
          <w:numId w:val="2"/>
        </w:numPr>
        <w:spacing w:after="80" w:line="280" w:lineRule="auto"/>
      </w:pPr>
      <w:r>
        <w:rPr>
          <w:b/>
          <w:bCs/>
          <w:color w:val="1A1A1A"/>
        </w:rPr>
        <w:t xml:space="preserve">Executive Management Team — </w:t>
      </w:r>
      <w:r>
        <w:rPr>
          <w:color w:val="1A1A1A"/>
        </w:rPr>
        <w:t>roles and remits, consistent with the faceless approach (titles and credentials over photogr</w:t>
      </w:r>
      <w:r>
        <w:rPr>
          <w:color w:val="1A1A1A"/>
        </w:rPr>
        <w:t>aphs).</w:t>
      </w:r>
    </w:p>
    <w:p w:rsidR="003C62DF" w:rsidRDefault="00E56426">
      <w:pPr>
        <w:pStyle w:val="ListParagraph"/>
        <w:numPr>
          <w:ilvl w:val="0"/>
          <w:numId w:val="2"/>
        </w:numPr>
        <w:spacing w:after="80" w:line="280" w:lineRule="auto"/>
      </w:pPr>
      <w:r>
        <w:rPr>
          <w:b/>
          <w:bCs/>
          <w:color w:val="1A1A1A"/>
        </w:rPr>
        <w:t xml:space="preserve">Testimonials — </w:t>
      </w:r>
      <w:r>
        <w:rPr>
          <w:color w:val="1A1A1A"/>
        </w:rPr>
        <w:t>anonymized client outcomes once available.</w:t>
      </w:r>
    </w:p>
    <w:p w:rsidR="003C62DF" w:rsidRDefault="003C62DF">
      <w:pPr>
        <w:spacing w:after="120"/>
      </w:pPr>
    </w:p>
    <w:p w:rsidR="003C62DF" w:rsidRDefault="00E56426">
      <w:pPr>
        <w:pStyle w:val="Heading2"/>
      </w:pPr>
      <w:r>
        <w:t>B7. Contact, Disclaimer, Privacy, Terms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C62DF">
        <w:tblPrEx>
          <w:tblCellMar>
            <w:top w:w="0" w:type="dxa"/>
            <w:bottom w:w="0" w:type="dxa"/>
          </w:tblCellMar>
        </w:tblPrEx>
        <w:tc>
          <w:tcPr>
            <w:tcW w:w="2600" w:type="dxa"/>
            <w:tcBorders>
              <w:top w:val="single" w:sz="1" w:space="0" w:color="C9C2B8"/>
              <w:left w:val="single" w:sz="1" w:space="0" w:color="C9C2B8"/>
              <w:bottom w:val="single" w:sz="1" w:space="0" w:color="C9C2B8"/>
              <w:right w:val="single" w:sz="1" w:space="0" w:color="C9C2B8"/>
            </w:tcBorders>
            <w:shd w:val="clear" w:color="auto" w:fill="E9E4DC"/>
            <w:tcMar>
              <w:top w:w="80" w:type="dxa"/>
              <w:left w:w="120" w:type="dxa"/>
              <w:bottom w:w="80" w:type="dxa"/>
              <w:right w:w="120" w:type="dxa"/>
            </w:tcMar>
          </w:tcPr>
          <w:p w:rsidR="003C62DF" w:rsidRDefault="00E56426">
            <w:pPr>
              <w:spacing w:line="270" w:lineRule="auto"/>
            </w:pPr>
            <w:r>
              <w:rPr>
                <w:b/>
                <w:bCs/>
                <w:color w:val="36221C"/>
                <w:sz w:val="20"/>
                <w:szCs w:val="20"/>
              </w:rPr>
              <w:t>Contact</w:t>
            </w:r>
          </w:p>
        </w:tc>
        <w:tc>
          <w:tcPr>
            <w:tcW w:w="67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form + info@propertyandrentconsult.com + WhatsApp; state a response window (e.g. one business day)</w:t>
            </w:r>
          </w:p>
        </w:tc>
      </w:tr>
      <w:tr w:rsidR="003C62DF">
        <w:tblPrEx>
          <w:tblCellMar>
            <w:top w:w="0" w:type="dxa"/>
            <w:bottom w:w="0" w:type="dxa"/>
          </w:tblCellMar>
        </w:tblPrEx>
        <w:tc>
          <w:tcPr>
            <w:tcW w:w="2600" w:type="dxa"/>
            <w:tcBorders>
              <w:top w:val="single" w:sz="1" w:space="0" w:color="C9C2B8"/>
              <w:left w:val="single" w:sz="1" w:space="0" w:color="C9C2B8"/>
              <w:bottom w:val="single" w:sz="1" w:space="0" w:color="C9C2B8"/>
              <w:right w:val="single" w:sz="1" w:space="0" w:color="C9C2B8"/>
            </w:tcBorders>
            <w:shd w:val="clear" w:color="auto" w:fill="E9E4DC"/>
            <w:tcMar>
              <w:top w:w="80" w:type="dxa"/>
              <w:left w:w="120" w:type="dxa"/>
              <w:bottom w:w="80" w:type="dxa"/>
              <w:right w:w="120" w:type="dxa"/>
            </w:tcMar>
          </w:tcPr>
          <w:p w:rsidR="003C62DF" w:rsidRDefault="00E56426">
            <w:pPr>
              <w:spacing w:line="270" w:lineRule="auto"/>
            </w:pPr>
            <w:r>
              <w:rPr>
                <w:b/>
                <w:bCs/>
                <w:color w:val="36221C"/>
                <w:sz w:val="20"/>
                <w:szCs w:val="20"/>
              </w:rPr>
              <w:t>Disclaimer</w:t>
            </w:r>
          </w:p>
        </w:tc>
        <w:tc>
          <w:tcPr>
            <w:tcW w:w="67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general-information notice; Ren</w:t>
            </w:r>
            <w:r>
              <w:rPr>
                <w:color w:val="1A1A1A"/>
                <w:sz w:val="20"/>
                <w:szCs w:val="20"/>
              </w:rPr>
              <w:t>t Control separation statement; “no solicitor-client relationship” line</w:t>
            </w:r>
          </w:p>
        </w:tc>
      </w:tr>
      <w:tr w:rsidR="003C62DF">
        <w:tblPrEx>
          <w:tblCellMar>
            <w:top w:w="0" w:type="dxa"/>
            <w:bottom w:w="0" w:type="dxa"/>
          </w:tblCellMar>
        </w:tblPrEx>
        <w:tc>
          <w:tcPr>
            <w:tcW w:w="2600" w:type="dxa"/>
            <w:tcBorders>
              <w:top w:val="single" w:sz="1" w:space="0" w:color="C9C2B8"/>
              <w:left w:val="single" w:sz="1" w:space="0" w:color="C9C2B8"/>
              <w:bottom w:val="single" w:sz="1" w:space="0" w:color="C9C2B8"/>
              <w:right w:val="single" w:sz="1" w:space="0" w:color="C9C2B8"/>
            </w:tcBorders>
            <w:shd w:val="clear" w:color="auto" w:fill="E9E4DC"/>
            <w:tcMar>
              <w:top w:w="80" w:type="dxa"/>
              <w:left w:w="120" w:type="dxa"/>
              <w:bottom w:w="80" w:type="dxa"/>
              <w:right w:w="120" w:type="dxa"/>
            </w:tcMar>
          </w:tcPr>
          <w:p w:rsidR="003C62DF" w:rsidRDefault="00E56426">
            <w:pPr>
              <w:spacing w:line="270" w:lineRule="auto"/>
            </w:pPr>
            <w:r>
              <w:rPr>
                <w:b/>
                <w:bCs/>
                <w:color w:val="36221C"/>
                <w:sz w:val="20"/>
                <w:szCs w:val="20"/>
              </w:rPr>
              <w:lastRenderedPageBreak/>
              <w:t>Privacy</w:t>
            </w:r>
          </w:p>
        </w:tc>
        <w:tc>
          <w:tcPr>
            <w:tcW w:w="67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what is collected at email capture and checkout, lawful basis, retention — aligned to the Data Protection Act, 2012 (Act 843)</w:t>
            </w:r>
          </w:p>
        </w:tc>
      </w:tr>
      <w:tr w:rsidR="003C62DF">
        <w:tblPrEx>
          <w:tblCellMar>
            <w:top w:w="0" w:type="dxa"/>
            <w:bottom w:w="0" w:type="dxa"/>
          </w:tblCellMar>
        </w:tblPrEx>
        <w:tc>
          <w:tcPr>
            <w:tcW w:w="2600" w:type="dxa"/>
            <w:tcBorders>
              <w:top w:val="single" w:sz="1" w:space="0" w:color="C9C2B8"/>
              <w:left w:val="single" w:sz="1" w:space="0" w:color="C9C2B8"/>
              <w:bottom w:val="single" w:sz="1" w:space="0" w:color="C9C2B8"/>
              <w:right w:val="single" w:sz="1" w:space="0" w:color="C9C2B8"/>
            </w:tcBorders>
            <w:shd w:val="clear" w:color="auto" w:fill="E9E4DC"/>
            <w:tcMar>
              <w:top w:w="80" w:type="dxa"/>
              <w:left w:w="120" w:type="dxa"/>
              <w:bottom w:w="80" w:type="dxa"/>
              <w:right w:w="120" w:type="dxa"/>
            </w:tcMar>
          </w:tcPr>
          <w:p w:rsidR="003C62DF" w:rsidRDefault="00E56426">
            <w:pPr>
              <w:spacing w:line="270" w:lineRule="auto"/>
            </w:pPr>
            <w:r>
              <w:rPr>
                <w:b/>
                <w:bCs/>
                <w:color w:val="36221C"/>
                <w:sz w:val="20"/>
                <w:szCs w:val="20"/>
              </w:rPr>
              <w:t>Terms</w:t>
            </w:r>
          </w:p>
        </w:tc>
        <w:tc>
          <w:tcPr>
            <w:tcW w:w="67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single-user licence for templates, permitted editing, no resale/redistribution, refund position for digital goods</w:t>
            </w:r>
          </w:p>
        </w:tc>
      </w:tr>
    </w:tbl>
    <w:p w:rsidR="003C62DF" w:rsidRDefault="003C62DF">
      <w:pPr>
        <w:spacing w:after="60"/>
      </w:pPr>
    </w:p>
    <w:p w:rsidR="003C62DF" w:rsidRDefault="00E56426">
      <w:pPr>
        <w:spacing w:before="160" w:after="100"/>
      </w:pPr>
      <w:r>
        <w:rPr>
          <w:b/>
          <w:bCs/>
          <w:color w:val="36221C"/>
        </w:rPr>
        <w:t>Page sections (in order)</w:t>
      </w:r>
    </w:p>
    <w:p w:rsidR="003C62DF" w:rsidRDefault="00E56426">
      <w:pPr>
        <w:pStyle w:val="ListParagraph"/>
        <w:numPr>
          <w:ilvl w:val="0"/>
          <w:numId w:val="2"/>
        </w:numPr>
        <w:spacing w:after="80" w:line="280" w:lineRule="auto"/>
      </w:pPr>
      <w:r>
        <w:rPr>
          <w:b/>
          <w:bCs/>
          <w:color w:val="1A1A1A"/>
        </w:rPr>
        <w:t xml:space="preserve">Keep these pages short — </w:t>
      </w:r>
      <w:r>
        <w:rPr>
          <w:color w:val="1A1A1A"/>
        </w:rPr>
        <w:t>but real — they are read precisely when something has gone wrong, and vague boilerplate de</w:t>
      </w:r>
      <w:r>
        <w:rPr>
          <w:color w:val="1A1A1A"/>
        </w:rPr>
        <w:t>stroys trust at that moment.</w:t>
      </w:r>
    </w:p>
    <w:p w:rsidR="003C62DF" w:rsidRDefault="003C62DF">
      <w:pPr>
        <w:spacing w:after="120"/>
      </w:pPr>
    </w:p>
    <w:p w:rsidR="003C62DF" w:rsidRDefault="00E56426">
      <w:r>
        <w:br w:type="page"/>
      </w:r>
    </w:p>
    <w:p w:rsidR="003C62DF" w:rsidRDefault="00E56426">
      <w:pPr>
        <w:pStyle w:val="Heading1"/>
        <w:pBdr>
          <w:bottom w:val="single" w:sz="8" w:space="2" w:color="516984"/>
        </w:pBdr>
      </w:pPr>
      <w:r>
        <w:lastRenderedPageBreak/>
        <w:t>Part C — Homepage Copy (Full Draft)</w:t>
      </w:r>
    </w:p>
    <w:p w:rsidR="003C62DF" w:rsidRDefault="00E56426">
      <w:pPr>
        <w:spacing w:after="140" w:line="300" w:lineRule="auto"/>
        <w:jc w:val="both"/>
      </w:pPr>
      <w:r>
        <w:rPr>
          <w:color w:val="1A1A1A"/>
        </w:rPr>
        <w:t>Drafted in PRC's institutional voice. Square-bracketed items are placeholders to confirm. This copy is wired verbatim into the site scaffold delivered alongside this brief.</w:t>
      </w:r>
    </w:p>
    <w:p w:rsidR="003C62DF" w:rsidRDefault="00E56426">
      <w:pPr>
        <w:pStyle w:val="Heading2"/>
      </w:pPr>
      <w:r>
        <w:t>C1. Hero</w:t>
      </w: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62DF">
        <w:tblPrEx>
          <w:tblCellMar>
            <w:top w:w="0" w:type="dxa"/>
            <w:bottom w:w="0" w:type="dxa"/>
          </w:tblCellMar>
        </w:tblPrEx>
        <w:tc>
          <w:tcPr>
            <w:tcW w:w="9360" w:type="dxa"/>
            <w:tcBorders>
              <w:top w:val="single" w:sz="1" w:space="0" w:color="C9C2B8"/>
              <w:left w:val="single" w:sz="1" w:space="0" w:color="C9C2B8"/>
              <w:bottom w:val="single" w:sz="1" w:space="0" w:color="C9C2B8"/>
              <w:right w:val="single" w:sz="1" w:space="0" w:color="C9C2B8"/>
            </w:tcBorders>
            <w:shd w:val="clear" w:color="auto" w:fill="FBFAF7"/>
            <w:tcMar>
              <w:top w:w="140" w:type="dxa"/>
              <w:left w:w="180" w:type="dxa"/>
              <w:bottom w:w="140" w:type="dxa"/>
              <w:right w:w="180" w:type="dxa"/>
            </w:tcMar>
          </w:tcPr>
          <w:p w:rsidR="003C62DF" w:rsidRDefault="00E56426">
            <w:pPr>
              <w:spacing w:after="110" w:line="290" w:lineRule="auto"/>
            </w:pPr>
            <w:r>
              <w:rPr>
                <w:b/>
                <w:bCs/>
                <w:color w:val="516984"/>
                <w:sz w:val="18"/>
                <w:szCs w:val="18"/>
              </w:rPr>
              <w:t>EYEBROW: Grounded in the Rent Act, 1963 (Act 220) · L.I. 369</w:t>
            </w:r>
          </w:p>
          <w:p w:rsidR="003C62DF" w:rsidRDefault="00E56426">
            <w:pPr>
              <w:spacing w:after="110" w:line="290" w:lineRule="auto"/>
            </w:pPr>
            <w:r>
              <w:rPr>
                <w:b/>
                <w:bCs/>
                <w:color w:val="36221C"/>
                <w:sz w:val="30"/>
                <w:szCs w:val="30"/>
              </w:rPr>
              <w:t>Get the tenancy right — before you sign it.</w:t>
            </w:r>
          </w:p>
          <w:p w:rsidR="003C62DF" w:rsidRDefault="00E56426">
            <w:pPr>
              <w:spacing w:after="110" w:line="290" w:lineRule="auto"/>
            </w:pPr>
            <w:r>
              <w:rPr>
                <w:color w:val="1A1A1A"/>
                <w:sz w:val="21"/>
                <w:szCs w:val="21"/>
              </w:rPr>
              <w:t>PRC turns Ghana's rent and tenancy law into documents, tools, and guidance that hold up in practice. Built by chartered surveyors with frontline experi</w:t>
            </w:r>
            <w:r>
              <w:rPr>
                <w:color w:val="1A1A1A"/>
                <w:sz w:val="21"/>
                <w:szCs w:val="21"/>
              </w:rPr>
              <w:t>ence in rent administration — for tenants, landlords, and the professionals who serve them.</w:t>
            </w:r>
          </w:p>
          <w:p w:rsidR="003C62DF" w:rsidRDefault="00E56426">
            <w:pPr>
              <w:spacing w:after="110" w:line="290" w:lineRule="auto"/>
            </w:pPr>
            <w:r>
              <w:rPr>
                <w:b/>
                <w:bCs/>
                <w:color w:val="516984"/>
                <w:sz w:val="21"/>
                <w:szCs w:val="21"/>
              </w:rPr>
              <w:t>[ Browse Documents ]   [ Book a Consultation ]</w:t>
            </w:r>
          </w:p>
          <w:p w:rsidR="003C62DF" w:rsidRDefault="00E56426">
            <w:pPr>
              <w:spacing w:line="290" w:lineRule="auto"/>
            </w:pPr>
            <w:r>
              <w:rPr>
                <w:i/>
                <w:iCs/>
                <w:color w:val="63645A"/>
                <w:sz w:val="19"/>
                <w:szCs w:val="19"/>
              </w:rPr>
              <w:t>Trusted Guidance in Property &amp; Tenancy</w:t>
            </w:r>
          </w:p>
        </w:tc>
      </w:tr>
    </w:tbl>
    <w:p w:rsidR="003C62DF" w:rsidRDefault="00E56426">
      <w:pPr>
        <w:pStyle w:val="Heading2"/>
      </w:pPr>
      <w:r>
        <w:t>C2. Audience router</w:t>
      </w: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62DF">
        <w:tblPrEx>
          <w:tblCellMar>
            <w:top w:w="0" w:type="dxa"/>
            <w:bottom w:w="0" w:type="dxa"/>
          </w:tblCellMar>
        </w:tblPrEx>
        <w:tc>
          <w:tcPr>
            <w:tcW w:w="9360" w:type="dxa"/>
            <w:tcBorders>
              <w:top w:val="single" w:sz="1" w:space="0" w:color="C9C2B8"/>
              <w:left w:val="single" w:sz="1" w:space="0" w:color="C9C2B8"/>
              <w:bottom w:val="single" w:sz="1" w:space="0" w:color="C9C2B8"/>
              <w:right w:val="single" w:sz="1" w:space="0" w:color="C9C2B8"/>
            </w:tcBorders>
            <w:shd w:val="clear" w:color="auto" w:fill="FBFAF7"/>
            <w:tcMar>
              <w:top w:w="140" w:type="dxa"/>
              <w:left w:w="180" w:type="dxa"/>
              <w:bottom w:w="140" w:type="dxa"/>
              <w:right w:w="180" w:type="dxa"/>
            </w:tcMar>
          </w:tcPr>
          <w:p w:rsidR="003C62DF" w:rsidRDefault="00E56426">
            <w:pPr>
              <w:spacing w:after="110" w:line="290" w:lineRule="auto"/>
            </w:pPr>
            <w:r>
              <w:rPr>
                <w:b/>
                <w:bCs/>
                <w:color w:val="36221C"/>
                <w:sz w:val="24"/>
                <w:szCs w:val="24"/>
              </w:rPr>
              <w:t>Start where you stand.</w:t>
            </w:r>
          </w:p>
          <w:p w:rsidR="003C62DF" w:rsidRDefault="00E56426">
            <w:pPr>
              <w:spacing w:after="110" w:line="290" w:lineRule="auto"/>
            </w:pPr>
            <w:r>
              <w:rPr>
                <w:color w:val="1A1A1A"/>
                <w:sz w:val="20"/>
                <w:szCs w:val="20"/>
              </w:rPr>
              <w:t xml:space="preserve">I AM A TENANT — Know what the law </w:t>
            </w:r>
            <w:r>
              <w:rPr>
                <w:color w:val="1A1A1A"/>
                <w:sz w:val="20"/>
                <w:szCs w:val="20"/>
              </w:rPr>
              <w:t>lets a landlord ask of you — and what it doesn't. Your rights on advance rent, notice, and repairs, in plain language. → Tenant guidance</w:t>
            </w:r>
          </w:p>
          <w:p w:rsidR="003C62DF" w:rsidRDefault="00E56426">
            <w:pPr>
              <w:spacing w:after="110" w:line="290" w:lineRule="auto"/>
            </w:pPr>
            <w:r>
              <w:rPr>
                <w:color w:val="1A1A1A"/>
                <w:sz w:val="20"/>
                <w:szCs w:val="20"/>
              </w:rPr>
              <w:t>I AM A LANDLORD — Collect rent, increase it, and recover possession the lawful way. Compliant agreements and step-by-step process guidance. → Landlord guidance</w:t>
            </w:r>
          </w:p>
          <w:p w:rsidR="003C62DF" w:rsidRDefault="00E56426">
            <w:pPr>
              <w:spacing w:line="290" w:lineRule="auto"/>
            </w:pPr>
            <w:r>
              <w:rPr>
                <w:color w:val="1A1A1A"/>
                <w:sz w:val="20"/>
                <w:szCs w:val="20"/>
              </w:rPr>
              <w:t>I AM A PROFESSIONAL — Agents, caretakers, and property managers: documentation standards and too</w:t>
            </w:r>
            <w:r>
              <w:rPr>
                <w:color w:val="1A1A1A"/>
                <w:sz w:val="20"/>
                <w:szCs w:val="20"/>
              </w:rPr>
              <w:t>ls that protect you and your principal. → Professional resources</w:t>
            </w:r>
          </w:p>
        </w:tc>
      </w:tr>
    </w:tbl>
    <w:p w:rsidR="003C62DF" w:rsidRDefault="00E56426">
      <w:pPr>
        <w:pStyle w:val="Heading2"/>
      </w:pPr>
      <w:r>
        <w:t>C3. Authority strip</w:t>
      </w: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62DF">
        <w:tblPrEx>
          <w:tblCellMar>
            <w:top w:w="0" w:type="dxa"/>
            <w:bottom w:w="0" w:type="dxa"/>
          </w:tblCellMar>
        </w:tblPrEx>
        <w:tc>
          <w:tcPr>
            <w:tcW w:w="9360" w:type="dxa"/>
            <w:tcBorders>
              <w:top w:val="single" w:sz="1" w:space="0" w:color="C9C2B8"/>
              <w:left w:val="single" w:sz="1" w:space="0" w:color="C9C2B8"/>
              <w:bottom w:val="single" w:sz="1" w:space="0" w:color="C9C2B8"/>
              <w:right w:val="single" w:sz="1" w:space="0" w:color="C9C2B8"/>
            </w:tcBorders>
            <w:shd w:val="clear" w:color="auto" w:fill="FBFAF7"/>
            <w:tcMar>
              <w:top w:w="140" w:type="dxa"/>
              <w:left w:w="180" w:type="dxa"/>
              <w:bottom w:w="140" w:type="dxa"/>
              <w:right w:w="180" w:type="dxa"/>
            </w:tcMar>
          </w:tcPr>
          <w:p w:rsidR="003C62DF" w:rsidRDefault="00E56426">
            <w:pPr>
              <w:spacing w:after="110" w:line="290" w:lineRule="auto"/>
            </w:pPr>
            <w:r>
              <w:rPr>
                <w:b/>
                <w:bCs/>
                <w:color w:val="36221C"/>
                <w:sz w:val="24"/>
                <w:szCs w:val="24"/>
              </w:rPr>
              <w:t>Why PRC is different</w:t>
            </w:r>
          </w:p>
          <w:p w:rsidR="003C62DF" w:rsidRDefault="00E56426">
            <w:pPr>
              <w:spacing w:line="290" w:lineRule="auto"/>
            </w:pPr>
            <w:r>
              <w:rPr>
                <w:color w:val="1A1A1A"/>
                <w:sz w:val="21"/>
                <w:szCs w:val="21"/>
              </w:rPr>
              <w:t>Every PRC product is grounded in statutory authority — the Rent Act, 1963 (Act 220) and the Rent Regulations, 1964 (L.I. 369) — and shaped by genuine</w:t>
            </w:r>
            <w:r>
              <w:rPr>
                <w:color w:val="1A1A1A"/>
                <w:sz w:val="21"/>
                <w:szCs w:val="21"/>
              </w:rPr>
              <w:t xml:space="preserve"> frontline experience in rent administration, valuation, and property management. You are not buying generic templates. You are buying documents and tools built by people who see, every working day, exactly where tenancies go wrong.</w:t>
            </w:r>
          </w:p>
        </w:tc>
      </w:tr>
    </w:tbl>
    <w:p w:rsidR="003C62DF" w:rsidRDefault="00E56426">
      <w:pPr>
        <w:pStyle w:val="Heading2"/>
      </w:pPr>
      <w:r>
        <w:t>C4. Featured products</w:t>
      </w: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62DF">
        <w:tblPrEx>
          <w:tblCellMar>
            <w:top w:w="0" w:type="dxa"/>
            <w:bottom w:w="0" w:type="dxa"/>
          </w:tblCellMar>
        </w:tblPrEx>
        <w:tc>
          <w:tcPr>
            <w:tcW w:w="9360" w:type="dxa"/>
            <w:tcBorders>
              <w:top w:val="single" w:sz="1" w:space="0" w:color="C9C2B8"/>
              <w:left w:val="single" w:sz="1" w:space="0" w:color="C9C2B8"/>
              <w:bottom w:val="single" w:sz="1" w:space="0" w:color="C9C2B8"/>
              <w:right w:val="single" w:sz="1" w:space="0" w:color="C9C2B8"/>
            </w:tcBorders>
            <w:shd w:val="clear" w:color="auto" w:fill="FBFAF7"/>
            <w:tcMar>
              <w:top w:w="140" w:type="dxa"/>
              <w:left w:w="180" w:type="dxa"/>
              <w:bottom w:w="140" w:type="dxa"/>
              <w:right w:w="180" w:type="dxa"/>
            </w:tcMar>
          </w:tcPr>
          <w:p w:rsidR="003C62DF" w:rsidRDefault="00E56426">
            <w:pPr>
              <w:spacing w:after="110" w:line="290" w:lineRule="auto"/>
            </w:pPr>
            <w:r>
              <w:rPr>
                <w:b/>
                <w:bCs/>
                <w:color w:val="36221C"/>
                <w:sz w:val="24"/>
                <w:szCs w:val="24"/>
              </w:rPr>
              <w:t>Documents that hold up.</w:t>
            </w:r>
          </w:p>
          <w:p w:rsidR="003C62DF" w:rsidRDefault="00E56426">
            <w:pPr>
              <w:spacing w:after="110" w:line="290" w:lineRule="auto"/>
            </w:pPr>
            <w:r>
              <w:rPr>
                <w:color w:val="1A1A1A"/>
                <w:sz w:val="20"/>
                <w:szCs w:val="20"/>
              </w:rPr>
              <w:t>RESIDENTIAL TENANCY AGREEMENT (PRC-TA-RES-01) — The clauses Act 220 expects, the protections most agreements miss. From GHS [price]. → View details</w:t>
            </w:r>
          </w:p>
          <w:p w:rsidR="003C62DF" w:rsidRDefault="00E56426">
            <w:pPr>
              <w:spacing w:after="110" w:line="290" w:lineRule="auto"/>
            </w:pPr>
            <w:r>
              <w:rPr>
                <w:color w:val="1A1A1A"/>
                <w:sz w:val="20"/>
                <w:szCs w:val="20"/>
              </w:rPr>
              <w:lastRenderedPageBreak/>
              <w:t>COMMERCIAL LEASE AGREEMENT (PRC-LA-COM-01) — Built for shops, offices, and mixed-use</w:t>
            </w:r>
            <w:r>
              <w:rPr>
                <w:color w:val="1A1A1A"/>
                <w:sz w:val="20"/>
                <w:szCs w:val="20"/>
              </w:rPr>
              <w:t xml:space="preserve"> premises in Ghana. From GHS [price]. → View details</w:t>
            </w:r>
          </w:p>
          <w:p w:rsidR="003C62DF" w:rsidRDefault="00E56426">
            <w:pPr>
              <w:spacing w:after="110" w:line="290" w:lineRule="auto"/>
            </w:pPr>
            <w:r>
              <w:rPr>
                <w:color w:val="1A1A1A"/>
                <w:sz w:val="20"/>
                <w:szCs w:val="20"/>
              </w:rPr>
              <w:t>TENANCY OFFER LETTER (PRC-OL-01) — Set the terms in writing before the agreement is drawn. From GHS [price]. → View details</w:t>
            </w:r>
          </w:p>
          <w:p w:rsidR="003C62DF" w:rsidRDefault="00E56426">
            <w:pPr>
              <w:spacing w:line="290" w:lineRule="auto"/>
            </w:pPr>
            <w:r>
              <w:rPr>
                <w:b/>
                <w:bCs/>
                <w:color w:val="516984"/>
                <w:sz w:val="21"/>
                <w:szCs w:val="21"/>
              </w:rPr>
              <w:t>→ See the full catalogue</w:t>
            </w:r>
          </w:p>
        </w:tc>
      </w:tr>
    </w:tbl>
    <w:p w:rsidR="003C62DF" w:rsidRDefault="00E56426">
      <w:pPr>
        <w:pStyle w:val="Heading2"/>
      </w:pPr>
      <w:r>
        <w:lastRenderedPageBreak/>
        <w:t>C5. Knowledge Hub teaser</w:t>
      </w: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62DF">
        <w:tblPrEx>
          <w:tblCellMar>
            <w:top w:w="0" w:type="dxa"/>
            <w:bottom w:w="0" w:type="dxa"/>
          </w:tblCellMar>
        </w:tblPrEx>
        <w:tc>
          <w:tcPr>
            <w:tcW w:w="9360" w:type="dxa"/>
            <w:tcBorders>
              <w:top w:val="single" w:sz="1" w:space="0" w:color="C9C2B8"/>
              <w:left w:val="single" w:sz="1" w:space="0" w:color="C9C2B8"/>
              <w:bottom w:val="single" w:sz="1" w:space="0" w:color="C9C2B8"/>
              <w:right w:val="single" w:sz="1" w:space="0" w:color="C9C2B8"/>
            </w:tcBorders>
            <w:shd w:val="clear" w:color="auto" w:fill="FBFAF7"/>
            <w:tcMar>
              <w:top w:w="140" w:type="dxa"/>
              <w:left w:w="180" w:type="dxa"/>
              <w:bottom w:w="140" w:type="dxa"/>
              <w:right w:w="180" w:type="dxa"/>
            </w:tcMar>
          </w:tcPr>
          <w:p w:rsidR="003C62DF" w:rsidRDefault="00E56426">
            <w:pPr>
              <w:spacing w:after="110" w:line="290" w:lineRule="auto"/>
            </w:pPr>
            <w:r>
              <w:rPr>
                <w:b/>
                <w:bCs/>
                <w:color w:val="36221C"/>
                <w:sz w:val="24"/>
                <w:szCs w:val="24"/>
              </w:rPr>
              <w:t>Learn it before you need it.</w:t>
            </w:r>
          </w:p>
          <w:p w:rsidR="003C62DF" w:rsidRDefault="00E56426">
            <w:pPr>
              <w:spacing w:line="290" w:lineRule="auto"/>
            </w:pPr>
            <w:r>
              <w:rPr>
                <w:color w:val="1A1A1A"/>
                <w:sz w:val="21"/>
                <w:szCs w:val="21"/>
              </w:rPr>
              <w:t>Practical, statute-grounded answers to the questions Ghanaian tenants and landlords actually ask — published in the PRC Knowledge Hub. [Latest three articles render here.] → Visit the Knowledge Hub</w:t>
            </w:r>
          </w:p>
        </w:tc>
      </w:tr>
    </w:tbl>
    <w:p w:rsidR="003C62DF" w:rsidRDefault="00E56426">
      <w:pPr>
        <w:pStyle w:val="Heading2"/>
      </w:pPr>
      <w:r>
        <w:t>C6. Lead magnet band</w:t>
      </w: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62DF">
        <w:tblPrEx>
          <w:tblCellMar>
            <w:top w:w="0" w:type="dxa"/>
            <w:bottom w:w="0" w:type="dxa"/>
          </w:tblCellMar>
        </w:tblPrEx>
        <w:tc>
          <w:tcPr>
            <w:tcW w:w="9360" w:type="dxa"/>
            <w:tcBorders>
              <w:top w:val="single" w:sz="1" w:space="0" w:color="C9C2B8"/>
              <w:left w:val="single" w:sz="1" w:space="0" w:color="C9C2B8"/>
              <w:bottom w:val="single" w:sz="1" w:space="0" w:color="C9C2B8"/>
              <w:right w:val="single" w:sz="1" w:space="0" w:color="C9C2B8"/>
            </w:tcBorders>
            <w:shd w:val="clear" w:color="auto" w:fill="FBFAF7"/>
            <w:tcMar>
              <w:top w:w="140" w:type="dxa"/>
              <w:left w:w="180" w:type="dxa"/>
              <w:bottom w:w="140" w:type="dxa"/>
              <w:right w:w="180" w:type="dxa"/>
            </w:tcMar>
          </w:tcPr>
          <w:p w:rsidR="003C62DF" w:rsidRDefault="00E56426">
            <w:pPr>
              <w:spacing w:after="110" w:line="290" w:lineRule="auto"/>
            </w:pPr>
            <w:r>
              <w:rPr>
                <w:b/>
                <w:bCs/>
                <w:color w:val="36221C"/>
                <w:sz w:val="24"/>
                <w:szCs w:val="24"/>
              </w:rPr>
              <w:t>Free: The Tenant's Rights Pocket Gu</w:t>
            </w:r>
            <w:r>
              <w:rPr>
                <w:b/>
                <w:bCs/>
                <w:color w:val="36221C"/>
                <w:sz w:val="24"/>
                <w:szCs w:val="24"/>
              </w:rPr>
              <w:t>ide</w:t>
            </w:r>
          </w:p>
          <w:p w:rsidR="003C62DF" w:rsidRDefault="00E56426">
            <w:pPr>
              <w:spacing w:after="110" w:line="290" w:lineRule="auto"/>
            </w:pPr>
            <w:r>
              <w:rPr>
                <w:color w:val="1A1A1A"/>
                <w:sz w:val="21"/>
                <w:szCs w:val="21"/>
              </w:rPr>
              <w:t>What your landlord can ask for, what they can't, and what to do when the line is crossed — Act 220, condensed to a guide you can read in ten minutes. Enter your email and it's yours.</w:t>
            </w:r>
          </w:p>
          <w:p w:rsidR="003C62DF" w:rsidRDefault="00E56426">
            <w:pPr>
              <w:spacing w:after="110" w:line="290" w:lineRule="auto"/>
            </w:pPr>
            <w:r>
              <w:rPr>
                <w:b/>
                <w:bCs/>
                <w:color w:val="516984"/>
                <w:sz w:val="21"/>
                <w:szCs w:val="21"/>
              </w:rPr>
              <w:t>[ Email address ]  [ Send me the guide ]</w:t>
            </w:r>
          </w:p>
          <w:p w:rsidR="003C62DF" w:rsidRDefault="00E56426">
            <w:pPr>
              <w:spacing w:line="290" w:lineRule="auto"/>
            </w:pPr>
            <w:r>
              <w:rPr>
                <w:i/>
                <w:iCs/>
                <w:color w:val="63645A"/>
                <w:sz w:val="18"/>
                <w:szCs w:val="18"/>
              </w:rPr>
              <w:t>We send guidance, not noise. Unsubscribe any time. Privacy notice applies.</w:t>
            </w:r>
          </w:p>
        </w:tc>
      </w:tr>
    </w:tbl>
    <w:p w:rsidR="003C62DF" w:rsidRDefault="00E56426">
      <w:pPr>
        <w:pStyle w:val="Heading2"/>
      </w:pPr>
      <w:r>
        <w:t>C7. Consultation CTA</w:t>
      </w: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62DF">
        <w:tblPrEx>
          <w:tblCellMar>
            <w:top w:w="0" w:type="dxa"/>
            <w:bottom w:w="0" w:type="dxa"/>
          </w:tblCellMar>
        </w:tblPrEx>
        <w:tc>
          <w:tcPr>
            <w:tcW w:w="9360" w:type="dxa"/>
            <w:tcBorders>
              <w:top w:val="single" w:sz="1" w:space="0" w:color="C9C2B8"/>
              <w:left w:val="single" w:sz="1" w:space="0" w:color="C9C2B8"/>
              <w:bottom w:val="single" w:sz="1" w:space="0" w:color="C9C2B8"/>
              <w:right w:val="single" w:sz="1" w:space="0" w:color="C9C2B8"/>
            </w:tcBorders>
            <w:shd w:val="clear" w:color="auto" w:fill="FBFAF7"/>
            <w:tcMar>
              <w:top w:w="140" w:type="dxa"/>
              <w:left w:w="180" w:type="dxa"/>
              <w:bottom w:w="140" w:type="dxa"/>
              <w:right w:w="180" w:type="dxa"/>
            </w:tcMar>
          </w:tcPr>
          <w:p w:rsidR="003C62DF" w:rsidRDefault="00E56426">
            <w:pPr>
              <w:spacing w:after="110" w:line="290" w:lineRule="auto"/>
            </w:pPr>
            <w:r>
              <w:rPr>
                <w:b/>
                <w:bCs/>
                <w:color w:val="36221C"/>
                <w:sz w:val="24"/>
                <w:szCs w:val="24"/>
              </w:rPr>
              <w:t>Some situations need more than a template.</w:t>
            </w:r>
          </w:p>
          <w:p w:rsidR="003C62DF" w:rsidRDefault="00E56426">
            <w:pPr>
              <w:spacing w:after="110" w:line="290" w:lineRule="auto"/>
            </w:pPr>
            <w:r>
              <w:rPr>
                <w:color w:val="1A1A1A"/>
                <w:sz w:val="21"/>
                <w:szCs w:val="21"/>
              </w:rPr>
              <w:t>Rent assessment advisory. Tenancy documentation review. Landlord compliance audits. Dispute guidance. Written advice, fixed scope, transparent pricing — from PRC's consulting desk.</w:t>
            </w:r>
          </w:p>
          <w:p w:rsidR="003C62DF" w:rsidRDefault="00E56426">
            <w:pPr>
              <w:spacing w:line="290" w:lineRule="auto"/>
            </w:pPr>
            <w:r>
              <w:rPr>
                <w:b/>
                <w:bCs/>
                <w:color w:val="516984"/>
                <w:sz w:val="21"/>
                <w:szCs w:val="21"/>
              </w:rPr>
              <w:t>[ Book a Consultation ]   [ Chat on WhatsApp ]</w:t>
            </w:r>
          </w:p>
        </w:tc>
      </w:tr>
    </w:tbl>
    <w:p w:rsidR="003C62DF" w:rsidRDefault="00E56426">
      <w:pPr>
        <w:pStyle w:val="Heading2"/>
      </w:pPr>
      <w:r>
        <w:t>C8. Footer essentials</w:t>
      </w: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62DF">
        <w:tblPrEx>
          <w:tblCellMar>
            <w:top w:w="0" w:type="dxa"/>
            <w:bottom w:w="0" w:type="dxa"/>
          </w:tblCellMar>
        </w:tblPrEx>
        <w:tc>
          <w:tcPr>
            <w:tcW w:w="9360" w:type="dxa"/>
            <w:tcBorders>
              <w:top w:val="single" w:sz="1" w:space="0" w:color="C9C2B8"/>
              <w:left w:val="single" w:sz="1" w:space="0" w:color="C9C2B8"/>
              <w:bottom w:val="single" w:sz="1" w:space="0" w:color="C9C2B8"/>
              <w:right w:val="single" w:sz="1" w:space="0" w:color="C9C2B8"/>
            </w:tcBorders>
            <w:shd w:val="clear" w:color="auto" w:fill="FBFAF7"/>
            <w:tcMar>
              <w:top w:w="140" w:type="dxa"/>
              <w:left w:w="180" w:type="dxa"/>
              <w:bottom w:w="140" w:type="dxa"/>
              <w:right w:w="180" w:type="dxa"/>
            </w:tcMar>
          </w:tcPr>
          <w:p w:rsidR="003C62DF" w:rsidRDefault="00E56426">
            <w:pPr>
              <w:spacing w:after="110" w:line="290" w:lineRule="auto"/>
            </w:pPr>
            <w:r>
              <w:rPr>
                <w:color w:val="1A1A1A"/>
                <w:sz w:val="19"/>
                <w:szCs w:val="19"/>
              </w:rPr>
              <w:t>Prope</w:t>
            </w:r>
            <w:r>
              <w:rPr>
                <w:color w:val="1A1A1A"/>
                <w:sz w:val="19"/>
                <w:szCs w:val="19"/>
              </w:rPr>
              <w:t>rty and Rent Consult (PRC) · Accra, Ghana · info@propertyandrentconsult.com</w:t>
            </w:r>
          </w:p>
          <w:p w:rsidR="003C62DF" w:rsidRDefault="00E56426">
            <w:pPr>
              <w:spacing w:line="290" w:lineRule="auto"/>
            </w:pPr>
            <w:r>
              <w:rPr>
                <w:i/>
                <w:iCs/>
                <w:color w:val="63645A"/>
                <w:sz w:val="18"/>
                <w:szCs w:val="18"/>
              </w:rPr>
              <w:t>PRC provides general guidance and documentation; it does not represent parties in Rent Control proceedings adjudicated by its principals. Content on this site is general informatio</w:t>
            </w:r>
            <w:r>
              <w:rPr>
                <w:i/>
                <w:iCs/>
                <w:color w:val="63645A"/>
                <w:sz w:val="18"/>
                <w:szCs w:val="18"/>
              </w:rPr>
              <w:t>n, not legal advice.</w:t>
            </w:r>
          </w:p>
        </w:tc>
      </w:tr>
    </w:tbl>
    <w:p w:rsidR="003C62DF" w:rsidRDefault="00E56426">
      <w:r>
        <w:br w:type="page"/>
      </w:r>
    </w:p>
    <w:p w:rsidR="003C62DF" w:rsidRDefault="00E56426">
      <w:pPr>
        <w:pStyle w:val="Heading1"/>
        <w:pBdr>
          <w:bottom w:val="single" w:sz="8" w:space="2" w:color="516984"/>
        </w:pBdr>
      </w:pPr>
      <w:r>
        <w:lastRenderedPageBreak/>
        <w:t>Part D — The First Five SEO Articles</w:t>
      </w:r>
    </w:p>
    <w:p w:rsidR="003C62DF" w:rsidRDefault="00E56426">
      <w:pPr>
        <w:spacing w:after="140" w:line="300" w:lineRule="auto"/>
        <w:jc w:val="both"/>
      </w:pPr>
      <w:r>
        <w:rPr>
          <w:color w:val="1A1A1A"/>
        </w:rPr>
        <w:t>Selection logic: each article targets a query with demonstrable Ghanaian search intent, low editorial competition, and a direct line to a PRC product or service. Together they seed three of the five topic clusters. Target length 1,500–2,200 words each; eve</w:t>
      </w:r>
      <w:r>
        <w:rPr>
          <w:color w:val="1A1A1A"/>
        </w:rPr>
        <w:t>ry article carries the legal-information disclaimer and a “last reviewed” date.</w:t>
      </w:r>
    </w:p>
    <w:p w:rsidR="003C62DF" w:rsidRDefault="00E56426">
      <w:pPr>
        <w:pStyle w:val="Heading2"/>
      </w:pPr>
      <w:r>
        <w:t>Article 1 — How Much Advance Rent Is Legal in Ghana? (Act 220, Explained Simply)</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C62DF">
        <w:tblPrEx>
          <w:tblCellMar>
            <w:top w:w="0" w:type="dxa"/>
            <w:bottom w:w="0" w:type="dxa"/>
          </w:tblCellMar>
        </w:tblPrEx>
        <w:tc>
          <w:tcPr>
            <w:tcW w:w="2600" w:type="dxa"/>
            <w:tcBorders>
              <w:top w:val="single" w:sz="1" w:space="0" w:color="C9C2B8"/>
              <w:left w:val="single" w:sz="1" w:space="0" w:color="C9C2B8"/>
              <w:bottom w:val="single" w:sz="1" w:space="0" w:color="C9C2B8"/>
              <w:right w:val="single" w:sz="1" w:space="0" w:color="C9C2B8"/>
            </w:tcBorders>
            <w:shd w:val="clear" w:color="auto" w:fill="E9E4DC"/>
            <w:tcMar>
              <w:top w:w="80" w:type="dxa"/>
              <w:left w:w="120" w:type="dxa"/>
              <w:bottom w:w="80" w:type="dxa"/>
              <w:right w:w="120" w:type="dxa"/>
            </w:tcMar>
          </w:tcPr>
          <w:p w:rsidR="003C62DF" w:rsidRDefault="00E56426">
            <w:pPr>
              <w:spacing w:line="270" w:lineRule="auto"/>
            </w:pPr>
            <w:r>
              <w:rPr>
                <w:b/>
                <w:bCs/>
                <w:color w:val="36221C"/>
                <w:sz w:val="20"/>
                <w:szCs w:val="20"/>
              </w:rPr>
              <w:t>URL</w:t>
            </w:r>
          </w:p>
        </w:tc>
        <w:tc>
          <w:tcPr>
            <w:tcW w:w="67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/knowledge/advance-rent-ghana-act-220/</w:t>
            </w:r>
          </w:p>
        </w:tc>
      </w:tr>
      <w:tr w:rsidR="003C62DF">
        <w:tblPrEx>
          <w:tblCellMar>
            <w:top w:w="0" w:type="dxa"/>
            <w:bottom w:w="0" w:type="dxa"/>
          </w:tblCellMar>
        </w:tblPrEx>
        <w:tc>
          <w:tcPr>
            <w:tcW w:w="2600" w:type="dxa"/>
            <w:tcBorders>
              <w:top w:val="single" w:sz="1" w:space="0" w:color="C9C2B8"/>
              <w:left w:val="single" w:sz="1" w:space="0" w:color="C9C2B8"/>
              <w:bottom w:val="single" w:sz="1" w:space="0" w:color="C9C2B8"/>
              <w:right w:val="single" w:sz="1" w:space="0" w:color="C9C2B8"/>
            </w:tcBorders>
            <w:shd w:val="clear" w:color="auto" w:fill="E9E4DC"/>
            <w:tcMar>
              <w:top w:w="80" w:type="dxa"/>
              <w:left w:w="120" w:type="dxa"/>
              <w:bottom w:w="80" w:type="dxa"/>
              <w:right w:w="120" w:type="dxa"/>
            </w:tcMar>
          </w:tcPr>
          <w:p w:rsidR="003C62DF" w:rsidRDefault="00E56426">
            <w:pPr>
              <w:spacing w:line="270" w:lineRule="auto"/>
            </w:pPr>
            <w:r>
              <w:rPr>
                <w:b/>
                <w:bCs/>
                <w:color w:val="36221C"/>
                <w:sz w:val="20"/>
                <w:szCs w:val="20"/>
              </w:rPr>
              <w:t>Primary keyword</w:t>
            </w:r>
          </w:p>
        </w:tc>
        <w:tc>
          <w:tcPr>
            <w:tcW w:w="67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advance rent in Ghana</w:t>
            </w:r>
          </w:p>
        </w:tc>
      </w:tr>
      <w:tr w:rsidR="003C62DF">
        <w:tblPrEx>
          <w:tblCellMar>
            <w:top w:w="0" w:type="dxa"/>
            <w:bottom w:w="0" w:type="dxa"/>
          </w:tblCellMar>
        </w:tblPrEx>
        <w:tc>
          <w:tcPr>
            <w:tcW w:w="2600" w:type="dxa"/>
            <w:tcBorders>
              <w:top w:val="single" w:sz="1" w:space="0" w:color="C9C2B8"/>
              <w:left w:val="single" w:sz="1" w:space="0" w:color="C9C2B8"/>
              <w:bottom w:val="single" w:sz="1" w:space="0" w:color="C9C2B8"/>
              <w:right w:val="single" w:sz="1" w:space="0" w:color="C9C2B8"/>
            </w:tcBorders>
            <w:shd w:val="clear" w:color="auto" w:fill="E9E4DC"/>
            <w:tcMar>
              <w:top w:w="80" w:type="dxa"/>
              <w:left w:w="120" w:type="dxa"/>
              <w:bottom w:w="80" w:type="dxa"/>
              <w:right w:w="120" w:type="dxa"/>
            </w:tcMar>
          </w:tcPr>
          <w:p w:rsidR="003C62DF" w:rsidRDefault="00E56426">
            <w:pPr>
              <w:spacing w:line="270" w:lineRule="auto"/>
            </w:pPr>
            <w:r>
              <w:rPr>
                <w:b/>
                <w:bCs/>
                <w:color w:val="36221C"/>
                <w:sz w:val="20"/>
                <w:szCs w:val="20"/>
              </w:rPr>
              <w:t>Secondary</w:t>
            </w:r>
          </w:p>
        </w:tc>
        <w:tc>
          <w:tcPr>
            <w:tcW w:w="67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is 2 years rent advance legal in Ghana · Rent Act 220 advance payment · 6 months advance rent law</w:t>
            </w:r>
          </w:p>
        </w:tc>
      </w:tr>
      <w:tr w:rsidR="003C62DF">
        <w:tblPrEx>
          <w:tblCellMar>
            <w:top w:w="0" w:type="dxa"/>
            <w:bottom w:w="0" w:type="dxa"/>
          </w:tblCellMar>
        </w:tblPrEx>
        <w:tc>
          <w:tcPr>
            <w:tcW w:w="2600" w:type="dxa"/>
            <w:tcBorders>
              <w:top w:val="single" w:sz="1" w:space="0" w:color="C9C2B8"/>
              <w:left w:val="single" w:sz="1" w:space="0" w:color="C9C2B8"/>
              <w:bottom w:val="single" w:sz="1" w:space="0" w:color="C9C2B8"/>
              <w:right w:val="single" w:sz="1" w:space="0" w:color="C9C2B8"/>
            </w:tcBorders>
            <w:shd w:val="clear" w:color="auto" w:fill="E9E4DC"/>
            <w:tcMar>
              <w:top w:w="80" w:type="dxa"/>
              <w:left w:w="120" w:type="dxa"/>
              <w:bottom w:w="80" w:type="dxa"/>
              <w:right w:w="120" w:type="dxa"/>
            </w:tcMar>
          </w:tcPr>
          <w:p w:rsidR="003C62DF" w:rsidRDefault="00E56426">
            <w:pPr>
              <w:spacing w:line="270" w:lineRule="auto"/>
            </w:pPr>
            <w:r>
              <w:rPr>
                <w:b/>
                <w:bCs/>
                <w:color w:val="36221C"/>
                <w:sz w:val="20"/>
                <w:szCs w:val="20"/>
              </w:rPr>
              <w:t>Search intent</w:t>
            </w:r>
          </w:p>
        </w:tc>
        <w:tc>
          <w:tcPr>
            <w:tcW w:w="67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Informational with high anxiety — tenants asked for multi-year advances; landlords unsure of exposure</w:t>
            </w:r>
          </w:p>
        </w:tc>
      </w:tr>
      <w:tr w:rsidR="003C62DF">
        <w:tblPrEx>
          <w:tblCellMar>
            <w:top w:w="0" w:type="dxa"/>
            <w:bottom w:w="0" w:type="dxa"/>
          </w:tblCellMar>
        </w:tblPrEx>
        <w:tc>
          <w:tcPr>
            <w:tcW w:w="2600" w:type="dxa"/>
            <w:tcBorders>
              <w:top w:val="single" w:sz="1" w:space="0" w:color="C9C2B8"/>
              <w:left w:val="single" w:sz="1" w:space="0" w:color="C9C2B8"/>
              <w:bottom w:val="single" w:sz="1" w:space="0" w:color="C9C2B8"/>
              <w:right w:val="single" w:sz="1" w:space="0" w:color="C9C2B8"/>
            </w:tcBorders>
            <w:shd w:val="clear" w:color="auto" w:fill="E9E4DC"/>
            <w:tcMar>
              <w:top w:w="80" w:type="dxa"/>
              <w:left w:w="120" w:type="dxa"/>
              <w:bottom w:w="80" w:type="dxa"/>
              <w:right w:w="120" w:type="dxa"/>
            </w:tcMar>
          </w:tcPr>
          <w:p w:rsidR="003C62DF" w:rsidRDefault="00E56426">
            <w:pPr>
              <w:spacing w:line="270" w:lineRule="auto"/>
            </w:pPr>
            <w:r>
              <w:rPr>
                <w:b/>
                <w:bCs/>
                <w:color w:val="36221C"/>
                <w:sz w:val="20"/>
                <w:szCs w:val="20"/>
              </w:rPr>
              <w:t>Product tie-in</w:t>
            </w:r>
          </w:p>
        </w:tc>
        <w:tc>
          <w:tcPr>
            <w:tcW w:w="67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Residential Tenancy Agreement (PRC-TA-RES-01); Tenant's Rights Pocket Guide (lead magnet)</w:t>
            </w:r>
          </w:p>
        </w:tc>
      </w:tr>
    </w:tbl>
    <w:p w:rsidR="003C62DF" w:rsidRDefault="00E56426">
      <w:pPr>
        <w:spacing w:before="160" w:after="100"/>
      </w:pPr>
      <w:r>
        <w:rPr>
          <w:b/>
          <w:bCs/>
          <w:color w:val="36221C"/>
        </w:rPr>
        <w:t>Outline</w:t>
      </w:r>
    </w:p>
    <w:p w:rsidR="003C62DF" w:rsidRDefault="00E56426">
      <w:pPr>
        <w:pStyle w:val="ListParagraph"/>
        <w:numPr>
          <w:ilvl w:val="0"/>
          <w:numId w:val="2"/>
        </w:numPr>
        <w:spacing w:after="80" w:line="280" w:lineRule="auto"/>
      </w:pPr>
      <w:r>
        <w:rPr>
          <w:color w:val="1A1A1A"/>
        </w:rPr>
        <w:t>H2: The short answer — what section 25(5) of Act 220 actually provides</w:t>
      </w:r>
    </w:p>
    <w:p w:rsidR="003C62DF" w:rsidRDefault="00E56426">
      <w:pPr>
        <w:pStyle w:val="ListParagraph"/>
        <w:numPr>
          <w:ilvl w:val="0"/>
          <w:numId w:val="2"/>
        </w:numPr>
        <w:spacing w:after="80" w:line="280" w:lineRule="auto"/>
      </w:pPr>
      <w:r>
        <w:rPr>
          <w:color w:val="1A1A1A"/>
        </w:rPr>
        <w:t>H2: Why the law and the market disagree — the practice of 1–2 year advances and why it</w:t>
      </w:r>
      <w:r>
        <w:rPr>
          <w:color w:val="1A1A1A"/>
        </w:rPr>
        <w:t xml:space="preserve"> persists</w:t>
      </w:r>
    </w:p>
    <w:p w:rsidR="003C62DF" w:rsidRDefault="00E56426">
      <w:pPr>
        <w:pStyle w:val="ListParagraph"/>
        <w:numPr>
          <w:ilvl w:val="0"/>
          <w:numId w:val="2"/>
        </w:numPr>
        <w:spacing w:after="80" w:line="280" w:lineRule="auto"/>
      </w:pPr>
      <w:r>
        <w:rPr>
          <w:color w:val="1A1A1A"/>
        </w:rPr>
        <w:t>H2: What this means if you are a tenant — negotiating posture, documentation, receipts</w:t>
      </w:r>
    </w:p>
    <w:p w:rsidR="003C62DF" w:rsidRDefault="00E56426">
      <w:pPr>
        <w:pStyle w:val="ListParagraph"/>
        <w:numPr>
          <w:ilvl w:val="0"/>
          <w:numId w:val="2"/>
        </w:numPr>
        <w:spacing w:after="80" w:line="280" w:lineRule="auto"/>
      </w:pPr>
      <w:r>
        <w:rPr>
          <w:color w:val="1A1A1A"/>
        </w:rPr>
        <w:t>H2: What this means if you are a landlord — the enforcement reality and the risk you carry</w:t>
      </w:r>
    </w:p>
    <w:p w:rsidR="003C62DF" w:rsidRDefault="00E56426">
      <w:pPr>
        <w:pStyle w:val="ListParagraph"/>
        <w:numPr>
          <w:ilvl w:val="0"/>
          <w:numId w:val="2"/>
        </w:numPr>
        <w:spacing w:after="80" w:line="280" w:lineRule="auto"/>
      </w:pPr>
      <w:r>
        <w:rPr>
          <w:color w:val="1A1A1A"/>
        </w:rPr>
        <w:t xml:space="preserve">H2: What to do if you have already paid years in advance — records, </w:t>
      </w:r>
      <w:r>
        <w:rPr>
          <w:color w:val="1A1A1A"/>
        </w:rPr>
        <w:t>the Rent Control route, practical options</w:t>
      </w:r>
    </w:p>
    <w:p w:rsidR="003C62DF" w:rsidRDefault="00E56426">
      <w:pPr>
        <w:pStyle w:val="ListParagraph"/>
        <w:numPr>
          <w:ilvl w:val="0"/>
          <w:numId w:val="2"/>
        </w:numPr>
        <w:spacing w:after="80" w:line="280" w:lineRule="auto"/>
      </w:pPr>
      <w:r>
        <w:rPr>
          <w:color w:val="1A1A1A"/>
        </w:rPr>
        <w:t>H2: FAQ (schema markup): Is 2 years advance illegal? Can I report my landlord? Does advance rent count as rent paid?</w:t>
      </w:r>
    </w:p>
    <w:p w:rsidR="003C62DF" w:rsidRDefault="00E56426">
      <w:pPr>
        <w:pStyle w:val="ListParagraph"/>
        <w:numPr>
          <w:ilvl w:val="0"/>
          <w:numId w:val="2"/>
        </w:numPr>
        <w:spacing w:after="80" w:line="280" w:lineRule="auto"/>
      </w:pPr>
      <w:r>
        <w:rPr>
          <w:color w:val="1A1A1A"/>
        </w:rPr>
        <w:t>CTA: download the Pocket Guide; get the compliant tenancy agreement</w:t>
      </w:r>
    </w:p>
    <w:p w:rsidR="003C62DF" w:rsidRDefault="003C62DF">
      <w:pPr>
        <w:spacing w:after="80"/>
      </w:pPr>
    </w:p>
    <w:p w:rsidR="003C62DF" w:rsidRDefault="00E56426">
      <w:pPr>
        <w:pStyle w:val="Heading2"/>
      </w:pPr>
      <w:r>
        <w:t>Article 2 — Tenancy Agreemen</w:t>
      </w:r>
      <w:r>
        <w:t>t in Ghana: What It Must Contain to Protect You</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C62DF">
        <w:tblPrEx>
          <w:tblCellMar>
            <w:top w:w="0" w:type="dxa"/>
            <w:bottom w:w="0" w:type="dxa"/>
          </w:tblCellMar>
        </w:tblPrEx>
        <w:tc>
          <w:tcPr>
            <w:tcW w:w="2600" w:type="dxa"/>
            <w:tcBorders>
              <w:top w:val="single" w:sz="1" w:space="0" w:color="C9C2B8"/>
              <w:left w:val="single" w:sz="1" w:space="0" w:color="C9C2B8"/>
              <w:bottom w:val="single" w:sz="1" w:space="0" w:color="C9C2B8"/>
              <w:right w:val="single" w:sz="1" w:space="0" w:color="C9C2B8"/>
            </w:tcBorders>
            <w:shd w:val="clear" w:color="auto" w:fill="E9E4DC"/>
            <w:tcMar>
              <w:top w:w="80" w:type="dxa"/>
              <w:left w:w="120" w:type="dxa"/>
              <w:bottom w:w="80" w:type="dxa"/>
              <w:right w:w="120" w:type="dxa"/>
            </w:tcMar>
          </w:tcPr>
          <w:p w:rsidR="003C62DF" w:rsidRDefault="00E56426">
            <w:pPr>
              <w:spacing w:line="270" w:lineRule="auto"/>
            </w:pPr>
            <w:r>
              <w:rPr>
                <w:b/>
                <w:bCs/>
                <w:color w:val="36221C"/>
                <w:sz w:val="20"/>
                <w:szCs w:val="20"/>
              </w:rPr>
              <w:t>URL</w:t>
            </w:r>
          </w:p>
        </w:tc>
        <w:tc>
          <w:tcPr>
            <w:tcW w:w="67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/knowledge/tenancy-agreement-ghana-requirements/</w:t>
            </w:r>
          </w:p>
        </w:tc>
      </w:tr>
      <w:tr w:rsidR="003C62DF">
        <w:tblPrEx>
          <w:tblCellMar>
            <w:top w:w="0" w:type="dxa"/>
            <w:bottom w:w="0" w:type="dxa"/>
          </w:tblCellMar>
        </w:tblPrEx>
        <w:tc>
          <w:tcPr>
            <w:tcW w:w="2600" w:type="dxa"/>
            <w:tcBorders>
              <w:top w:val="single" w:sz="1" w:space="0" w:color="C9C2B8"/>
              <w:left w:val="single" w:sz="1" w:space="0" w:color="C9C2B8"/>
              <w:bottom w:val="single" w:sz="1" w:space="0" w:color="C9C2B8"/>
              <w:right w:val="single" w:sz="1" w:space="0" w:color="C9C2B8"/>
            </w:tcBorders>
            <w:shd w:val="clear" w:color="auto" w:fill="E9E4DC"/>
            <w:tcMar>
              <w:top w:w="80" w:type="dxa"/>
              <w:left w:w="120" w:type="dxa"/>
              <w:bottom w:w="80" w:type="dxa"/>
              <w:right w:w="120" w:type="dxa"/>
            </w:tcMar>
          </w:tcPr>
          <w:p w:rsidR="003C62DF" w:rsidRDefault="00E56426">
            <w:pPr>
              <w:spacing w:line="270" w:lineRule="auto"/>
            </w:pPr>
            <w:r>
              <w:rPr>
                <w:b/>
                <w:bCs/>
                <w:color w:val="36221C"/>
                <w:sz w:val="20"/>
                <w:szCs w:val="20"/>
              </w:rPr>
              <w:t>Primary keyword</w:t>
            </w:r>
          </w:p>
        </w:tc>
        <w:tc>
          <w:tcPr>
            <w:tcW w:w="67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tenancy agreement in Ghana</w:t>
            </w:r>
          </w:p>
        </w:tc>
      </w:tr>
      <w:tr w:rsidR="003C62DF">
        <w:tblPrEx>
          <w:tblCellMar>
            <w:top w:w="0" w:type="dxa"/>
            <w:bottom w:w="0" w:type="dxa"/>
          </w:tblCellMar>
        </w:tblPrEx>
        <w:tc>
          <w:tcPr>
            <w:tcW w:w="2600" w:type="dxa"/>
            <w:tcBorders>
              <w:top w:val="single" w:sz="1" w:space="0" w:color="C9C2B8"/>
              <w:left w:val="single" w:sz="1" w:space="0" w:color="C9C2B8"/>
              <w:bottom w:val="single" w:sz="1" w:space="0" w:color="C9C2B8"/>
              <w:right w:val="single" w:sz="1" w:space="0" w:color="C9C2B8"/>
            </w:tcBorders>
            <w:shd w:val="clear" w:color="auto" w:fill="E9E4DC"/>
            <w:tcMar>
              <w:top w:w="80" w:type="dxa"/>
              <w:left w:w="120" w:type="dxa"/>
              <w:bottom w:w="80" w:type="dxa"/>
              <w:right w:w="120" w:type="dxa"/>
            </w:tcMar>
          </w:tcPr>
          <w:p w:rsidR="003C62DF" w:rsidRDefault="00E56426">
            <w:pPr>
              <w:spacing w:line="270" w:lineRule="auto"/>
            </w:pPr>
            <w:r>
              <w:rPr>
                <w:b/>
                <w:bCs/>
                <w:color w:val="36221C"/>
                <w:sz w:val="20"/>
                <w:szCs w:val="20"/>
              </w:rPr>
              <w:t>Secondary</w:t>
            </w:r>
          </w:p>
        </w:tc>
        <w:tc>
          <w:tcPr>
            <w:tcW w:w="67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tenancy agreement template Ghana · tenancy agreement sample Ghana pdf · what makes a tenancy agreement valid</w:t>
            </w:r>
          </w:p>
        </w:tc>
      </w:tr>
      <w:tr w:rsidR="003C62DF">
        <w:tblPrEx>
          <w:tblCellMar>
            <w:top w:w="0" w:type="dxa"/>
            <w:bottom w:w="0" w:type="dxa"/>
          </w:tblCellMar>
        </w:tblPrEx>
        <w:tc>
          <w:tcPr>
            <w:tcW w:w="2600" w:type="dxa"/>
            <w:tcBorders>
              <w:top w:val="single" w:sz="1" w:space="0" w:color="C9C2B8"/>
              <w:left w:val="single" w:sz="1" w:space="0" w:color="C9C2B8"/>
              <w:bottom w:val="single" w:sz="1" w:space="0" w:color="C9C2B8"/>
              <w:right w:val="single" w:sz="1" w:space="0" w:color="C9C2B8"/>
            </w:tcBorders>
            <w:shd w:val="clear" w:color="auto" w:fill="E9E4DC"/>
            <w:tcMar>
              <w:top w:w="80" w:type="dxa"/>
              <w:left w:w="120" w:type="dxa"/>
              <w:bottom w:w="80" w:type="dxa"/>
              <w:right w:w="120" w:type="dxa"/>
            </w:tcMar>
          </w:tcPr>
          <w:p w:rsidR="003C62DF" w:rsidRDefault="00E56426">
            <w:pPr>
              <w:spacing w:line="270" w:lineRule="auto"/>
            </w:pPr>
            <w:r>
              <w:rPr>
                <w:b/>
                <w:bCs/>
                <w:color w:val="36221C"/>
                <w:sz w:val="20"/>
                <w:szCs w:val="20"/>
              </w:rPr>
              <w:t>Search intent</w:t>
            </w:r>
          </w:p>
        </w:tc>
        <w:tc>
          <w:tcPr>
            <w:tcW w:w="67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 xml:space="preserve">Mixed informational/commercial — the highest-converting article of the </w:t>
            </w:r>
            <w:r>
              <w:rPr>
                <w:color w:val="1A1A1A"/>
                <w:sz w:val="20"/>
                <w:szCs w:val="20"/>
              </w:rPr>
              <w:lastRenderedPageBreak/>
              <w:t>five</w:t>
            </w:r>
          </w:p>
        </w:tc>
      </w:tr>
      <w:tr w:rsidR="003C62DF">
        <w:tblPrEx>
          <w:tblCellMar>
            <w:top w:w="0" w:type="dxa"/>
            <w:bottom w:w="0" w:type="dxa"/>
          </w:tblCellMar>
        </w:tblPrEx>
        <w:tc>
          <w:tcPr>
            <w:tcW w:w="2600" w:type="dxa"/>
            <w:tcBorders>
              <w:top w:val="single" w:sz="1" w:space="0" w:color="C9C2B8"/>
              <w:left w:val="single" w:sz="1" w:space="0" w:color="C9C2B8"/>
              <w:bottom w:val="single" w:sz="1" w:space="0" w:color="C9C2B8"/>
              <w:right w:val="single" w:sz="1" w:space="0" w:color="C9C2B8"/>
            </w:tcBorders>
            <w:shd w:val="clear" w:color="auto" w:fill="E9E4DC"/>
            <w:tcMar>
              <w:top w:w="80" w:type="dxa"/>
              <w:left w:w="120" w:type="dxa"/>
              <w:bottom w:w="80" w:type="dxa"/>
              <w:right w:w="120" w:type="dxa"/>
            </w:tcMar>
          </w:tcPr>
          <w:p w:rsidR="003C62DF" w:rsidRDefault="00E56426">
            <w:pPr>
              <w:spacing w:line="270" w:lineRule="auto"/>
            </w:pPr>
            <w:r>
              <w:rPr>
                <w:b/>
                <w:bCs/>
                <w:color w:val="36221C"/>
                <w:sz w:val="20"/>
                <w:szCs w:val="20"/>
              </w:rPr>
              <w:lastRenderedPageBreak/>
              <w:t>Product tie-in</w:t>
            </w:r>
          </w:p>
        </w:tc>
        <w:tc>
          <w:tcPr>
            <w:tcW w:w="67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PRC-TA-RES-01 (primary), PRC-OL-01 offer letter</w:t>
            </w:r>
          </w:p>
        </w:tc>
      </w:tr>
    </w:tbl>
    <w:p w:rsidR="003C62DF" w:rsidRDefault="00E56426">
      <w:pPr>
        <w:spacing w:before="160" w:after="100"/>
      </w:pPr>
      <w:r>
        <w:rPr>
          <w:b/>
          <w:bCs/>
          <w:color w:val="36221C"/>
        </w:rPr>
        <w:t>Outline</w:t>
      </w:r>
    </w:p>
    <w:p w:rsidR="003C62DF" w:rsidRDefault="00E56426">
      <w:pPr>
        <w:pStyle w:val="ListParagraph"/>
        <w:numPr>
          <w:ilvl w:val="0"/>
          <w:numId w:val="2"/>
        </w:numPr>
        <w:spacing w:after="80" w:line="280" w:lineRule="auto"/>
      </w:pPr>
      <w:r>
        <w:rPr>
          <w:color w:val="1A1A1A"/>
        </w:rPr>
        <w:t>H2: Why a verbal tenancy is a dispute waiting for a venue</w:t>
      </w:r>
    </w:p>
    <w:p w:rsidR="003C62DF" w:rsidRDefault="00E56426">
      <w:pPr>
        <w:pStyle w:val="ListParagraph"/>
        <w:numPr>
          <w:ilvl w:val="0"/>
          <w:numId w:val="2"/>
        </w:numPr>
        <w:spacing w:after="80" w:line="280" w:lineRule="auto"/>
      </w:pPr>
      <w:r>
        <w:rPr>
          <w:color w:val="1A1A1A"/>
        </w:rPr>
        <w:t>H2: The ten clauses every Ghanaian tenancy agreement needs — parties, premises, term, rent and review, advance handling, repairs split, utilities, entry, termination and notice, dispute route</w:t>
      </w:r>
    </w:p>
    <w:p w:rsidR="003C62DF" w:rsidRDefault="00E56426">
      <w:pPr>
        <w:pStyle w:val="ListParagraph"/>
        <w:numPr>
          <w:ilvl w:val="0"/>
          <w:numId w:val="2"/>
        </w:numPr>
        <w:spacing w:after="80" w:line="280" w:lineRule="auto"/>
      </w:pPr>
      <w:r>
        <w:rPr>
          <w:color w:val="1A1A1A"/>
        </w:rPr>
        <w:t>H2: Clauses that are void or unenforceable under Act 220 — and t</w:t>
      </w:r>
      <w:r>
        <w:rPr>
          <w:color w:val="1A1A1A"/>
        </w:rPr>
        <w:t>hat still appear in agreements every week</w:t>
      </w:r>
    </w:p>
    <w:p w:rsidR="003C62DF" w:rsidRDefault="00E56426">
      <w:pPr>
        <w:pStyle w:val="ListParagraph"/>
        <w:numPr>
          <w:ilvl w:val="0"/>
          <w:numId w:val="2"/>
        </w:numPr>
        <w:spacing w:after="80" w:line="280" w:lineRule="auto"/>
      </w:pPr>
      <w:r>
        <w:rPr>
          <w:color w:val="1A1A1A"/>
        </w:rPr>
        <w:t>H2: Stamp duty and registration — what formalization actually requires</w:t>
      </w:r>
    </w:p>
    <w:p w:rsidR="003C62DF" w:rsidRDefault="00E56426">
      <w:pPr>
        <w:pStyle w:val="ListParagraph"/>
        <w:numPr>
          <w:ilvl w:val="0"/>
          <w:numId w:val="2"/>
        </w:numPr>
        <w:spacing w:after="80" w:line="280" w:lineRule="auto"/>
      </w:pPr>
      <w:r>
        <w:rPr>
          <w:color w:val="1A1A1A"/>
        </w:rPr>
        <w:t>H2: Free template vs. compliant template — what generic internet documents get wrong for Ghana</w:t>
      </w:r>
    </w:p>
    <w:p w:rsidR="003C62DF" w:rsidRDefault="00E56426">
      <w:pPr>
        <w:pStyle w:val="ListParagraph"/>
        <w:numPr>
          <w:ilvl w:val="0"/>
          <w:numId w:val="2"/>
        </w:numPr>
        <w:spacing w:after="80" w:line="280" w:lineRule="auto"/>
      </w:pPr>
      <w:r>
        <w:rPr>
          <w:color w:val="1A1A1A"/>
        </w:rPr>
        <w:t>H2: FAQ schema: Does it need a lawyer? Is an uns</w:t>
      </w:r>
      <w:r>
        <w:rPr>
          <w:color w:val="1A1A1A"/>
        </w:rPr>
        <w:t>tamped agreement valid? Can the landlord change terms mid-term?</w:t>
      </w:r>
    </w:p>
    <w:p w:rsidR="003C62DF" w:rsidRDefault="00E56426">
      <w:pPr>
        <w:pStyle w:val="ListParagraph"/>
        <w:numPr>
          <w:ilvl w:val="0"/>
          <w:numId w:val="2"/>
        </w:numPr>
        <w:spacing w:after="80" w:line="280" w:lineRule="auto"/>
      </w:pPr>
      <w:r>
        <w:rPr>
          <w:color w:val="1A1A1A"/>
        </w:rPr>
        <w:t>CTA: product landing page for PRC-TA-RES-01 with preview images</w:t>
      </w:r>
    </w:p>
    <w:p w:rsidR="003C62DF" w:rsidRDefault="003C62DF">
      <w:pPr>
        <w:spacing w:after="80"/>
      </w:pPr>
    </w:p>
    <w:p w:rsidR="003C62DF" w:rsidRDefault="00E56426">
      <w:pPr>
        <w:pStyle w:val="Heading2"/>
      </w:pPr>
      <w:r>
        <w:t>Article 3 — How to File a Complaint at the Rent Control Department (Step by Step)</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C62DF">
        <w:tblPrEx>
          <w:tblCellMar>
            <w:top w:w="0" w:type="dxa"/>
            <w:bottom w:w="0" w:type="dxa"/>
          </w:tblCellMar>
        </w:tblPrEx>
        <w:tc>
          <w:tcPr>
            <w:tcW w:w="2600" w:type="dxa"/>
            <w:tcBorders>
              <w:top w:val="single" w:sz="1" w:space="0" w:color="C9C2B8"/>
              <w:left w:val="single" w:sz="1" w:space="0" w:color="C9C2B8"/>
              <w:bottom w:val="single" w:sz="1" w:space="0" w:color="C9C2B8"/>
              <w:right w:val="single" w:sz="1" w:space="0" w:color="C9C2B8"/>
            </w:tcBorders>
            <w:shd w:val="clear" w:color="auto" w:fill="E9E4DC"/>
            <w:tcMar>
              <w:top w:w="80" w:type="dxa"/>
              <w:left w:w="120" w:type="dxa"/>
              <w:bottom w:w="80" w:type="dxa"/>
              <w:right w:w="120" w:type="dxa"/>
            </w:tcMar>
          </w:tcPr>
          <w:p w:rsidR="003C62DF" w:rsidRDefault="00E56426">
            <w:pPr>
              <w:spacing w:line="270" w:lineRule="auto"/>
            </w:pPr>
            <w:r>
              <w:rPr>
                <w:b/>
                <w:bCs/>
                <w:color w:val="36221C"/>
                <w:sz w:val="20"/>
                <w:szCs w:val="20"/>
              </w:rPr>
              <w:t>URL</w:t>
            </w:r>
          </w:p>
        </w:tc>
        <w:tc>
          <w:tcPr>
            <w:tcW w:w="67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/knowledge/rent-control-complaint-ghana/</w:t>
            </w:r>
          </w:p>
        </w:tc>
      </w:tr>
      <w:tr w:rsidR="003C62DF">
        <w:tblPrEx>
          <w:tblCellMar>
            <w:top w:w="0" w:type="dxa"/>
            <w:bottom w:w="0" w:type="dxa"/>
          </w:tblCellMar>
        </w:tblPrEx>
        <w:tc>
          <w:tcPr>
            <w:tcW w:w="2600" w:type="dxa"/>
            <w:tcBorders>
              <w:top w:val="single" w:sz="1" w:space="0" w:color="C9C2B8"/>
              <w:left w:val="single" w:sz="1" w:space="0" w:color="C9C2B8"/>
              <w:bottom w:val="single" w:sz="1" w:space="0" w:color="C9C2B8"/>
              <w:right w:val="single" w:sz="1" w:space="0" w:color="C9C2B8"/>
            </w:tcBorders>
            <w:shd w:val="clear" w:color="auto" w:fill="E9E4DC"/>
            <w:tcMar>
              <w:top w:w="80" w:type="dxa"/>
              <w:left w:w="120" w:type="dxa"/>
              <w:bottom w:w="80" w:type="dxa"/>
              <w:right w:w="120" w:type="dxa"/>
            </w:tcMar>
          </w:tcPr>
          <w:p w:rsidR="003C62DF" w:rsidRDefault="00E56426">
            <w:pPr>
              <w:spacing w:line="270" w:lineRule="auto"/>
            </w:pPr>
            <w:r>
              <w:rPr>
                <w:b/>
                <w:bCs/>
                <w:color w:val="36221C"/>
                <w:sz w:val="20"/>
                <w:szCs w:val="20"/>
              </w:rPr>
              <w:t>Primary keyword</w:t>
            </w:r>
          </w:p>
        </w:tc>
        <w:tc>
          <w:tcPr>
            <w:tcW w:w="67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Rent Control Ghana complaint</w:t>
            </w:r>
          </w:p>
        </w:tc>
      </w:tr>
      <w:tr w:rsidR="003C62DF">
        <w:tblPrEx>
          <w:tblCellMar>
            <w:top w:w="0" w:type="dxa"/>
            <w:bottom w:w="0" w:type="dxa"/>
          </w:tblCellMar>
        </w:tblPrEx>
        <w:tc>
          <w:tcPr>
            <w:tcW w:w="2600" w:type="dxa"/>
            <w:tcBorders>
              <w:top w:val="single" w:sz="1" w:space="0" w:color="C9C2B8"/>
              <w:left w:val="single" w:sz="1" w:space="0" w:color="C9C2B8"/>
              <w:bottom w:val="single" w:sz="1" w:space="0" w:color="C9C2B8"/>
              <w:right w:val="single" w:sz="1" w:space="0" w:color="C9C2B8"/>
            </w:tcBorders>
            <w:shd w:val="clear" w:color="auto" w:fill="E9E4DC"/>
            <w:tcMar>
              <w:top w:w="80" w:type="dxa"/>
              <w:left w:w="120" w:type="dxa"/>
              <w:bottom w:w="80" w:type="dxa"/>
              <w:right w:w="120" w:type="dxa"/>
            </w:tcMar>
          </w:tcPr>
          <w:p w:rsidR="003C62DF" w:rsidRDefault="00E56426">
            <w:pPr>
              <w:spacing w:line="270" w:lineRule="auto"/>
            </w:pPr>
            <w:r>
              <w:rPr>
                <w:b/>
                <w:bCs/>
                <w:color w:val="36221C"/>
                <w:sz w:val="20"/>
                <w:szCs w:val="20"/>
              </w:rPr>
              <w:t>Secondary</w:t>
            </w:r>
          </w:p>
        </w:tc>
        <w:tc>
          <w:tcPr>
            <w:tcW w:w="67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rent control office near me · how to report a landlord in Ghana · rent control office contact</w:t>
            </w:r>
          </w:p>
        </w:tc>
      </w:tr>
      <w:tr w:rsidR="003C62DF">
        <w:tblPrEx>
          <w:tblCellMar>
            <w:top w:w="0" w:type="dxa"/>
            <w:bottom w:w="0" w:type="dxa"/>
          </w:tblCellMar>
        </w:tblPrEx>
        <w:tc>
          <w:tcPr>
            <w:tcW w:w="2600" w:type="dxa"/>
            <w:tcBorders>
              <w:top w:val="single" w:sz="1" w:space="0" w:color="C9C2B8"/>
              <w:left w:val="single" w:sz="1" w:space="0" w:color="C9C2B8"/>
              <w:bottom w:val="single" w:sz="1" w:space="0" w:color="C9C2B8"/>
              <w:right w:val="single" w:sz="1" w:space="0" w:color="C9C2B8"/>
            </w:tcBorders>
            <w:shd w:val="clear" w:color="auto" w:fill="E9E4DC"/>
            <w:tcMar>
              <w:top w:w="80" w:type="dxa"/>
              <w:left w:w="120" w:type="dxa"/>
              <w:bottom w:w="80" w:type="dxa"/>
              <w:right w:w="120" w:type="dxa"/>
            </w:tcMar>
          </w:tcPr>
          <w:p w:rsidR="003C62DF" w:rsidRDefault="00E56426">
            <w:pPr>
              <w:spacing w:line="270" w:lineRule="auto"/>
            </w:pPr>
            <w:r>
              <w:rPr>
                <w:b/>
                <w:bCs/>
                <w:color w:val="36221C"/>
                <w:sz w:val="20"/>
                <w:szCs w:val="20"/>
              </w:rPr>
              <w:t>Search intent</w:t>
            </w:r>
          </w:p>
        </w:tc>
        <w:tc>
          <w:tcPr>
            <w:tcW w:w="67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Urgent, transactional-informational; pairs with the 65-office directory</w:t>
            </w:r>
          </w:p>
        </w:tc>
      </w:tr>
      <w:tr w:rsidR="003C62DF">
        <w:tblPrEx>
          <w:tblCellMar>
            <w:top w:w="0" w:type="dxa"/>
            <w:bottom w:w="0" w:type="dxa"/>
          </w:tblCellMar>
        </w:tblPrEx>
        <w:tc>
          <w:tcPr>
            <w:tcW w:w="2600" w:type="dxa"/>
            <w:tcBorders>
              <w:top w:val="single" w:sz="1" w:space="0" w:color="C9C2B8"/>
              <w:left w:val="single" w:sz="1" w:space="0" w:color="C9C2B8"/>
              <w:bottom w:val="single" w:sz="1" w:space="0" w:color="C9C2B8"/>
              <w:right w:val="single" w:sz="1" w:space="0" w:color="C9C2B8"/>
            </w:tcBorders>
            <w:shd w:val="clear" w:color="auto" w:fill="E9E4DC"/>
            <w:tcMar>
              <w:top w:w="80" w:type="dxa"/>
              <w:left w:w="120" w:type="dxa"/>
              <w:bottom w:w="80" w:type="dxa"/>
              <w:right w:w="120" w:type="dxa"/>
            </w:tcMar>
          </w:tcPr>
          <w:p w:rsidR="003C62DF" w:rsidRDefault="00E56426">
            <w:pPr>
              <w:spacing w:line="270" w:lineRule="auto"/>
            </w:pPr>
            <w:r>
              <w:rPr>
                <w:b/>
                <w:bCs/>
                <w:color w:val="36221C"/>
                <w:sz w:val="20"/>
                <w:szCs w:val="20"/>
              </w:rPr>
              <w:t>Product tie-in</w:t>
            </w:r>
          </w:p>
        </w:tc>
        <w:tc>
          <w:tcPr>
            <w:tcW w:w="67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Resources directory (internal-link powerhouse); dispute guidance consultation</w:t>
            </w:r>
          </w:p>
        </w:tc>
      </w:tr>
    </w:tbl>
    <w:p w:rsidR="003C62DF" w:rsidRDefault="00E56426">
      <w:pPr>
        <w:spacing w:before="160" w:after="100"/>
      </w:pPr>
      <w:r>
        <w:rPr>
          <w:b/>
          <w:bCs/>
          <w:color w:val="36221C"/>
        </w:rPr>
        <w:t>Outline</w:t>
      </w:r>
    </w:p>
    <w:p w:rsidR="003C62DF" w:rsidRDefault="00E56426">
      <w:pPr>
        <w:pStyle w:val="ListParagraph"/>
        <w:numPr>
          <w:ilvl w:val="0"/>
          <w:numId w:val="2"/>
        </w:numPr>
        <w:spacing w:after="80" w:line="280" w:lineRule="auto"/>
      </w:pPr>
      <w:r>
        <w:rPr>
          <w:color w:val="1A1A1A"/>
        </w:rPr>
        <w:t>H2: What the Rent Control Department can and cannot do for you</w:t>
      </w:r>
    </w:p>
    <w:p w:rsidR="003C62DF" w:rsidRDefault="00E56426">
      <w:pPr>
        <w:pStyle w:val="ListParagraph"/>
        <w:numPr>
          <w:ilvl w:val="0"/>
          <w:numId w:val="2"/>
        </w:numPr>
        <w:spacing w:after="80" w:line="280" w:lineRule="auto"/>
      </w:pPr>
      <w:r>
        <w:rPr>
          <w:color w:val="1A1A1A"/>
        </w:rPr>
        <w:t>H2: Before you go — the documents and evidence to assemble (agreement, receipts, correspondence, photographs)</w:t>
      </w:r>
    </w:p>
    <w:p w:rsidR="003C62DF" w:rsidRDefault="00E56426">
      <w:pPr>
        <w:pStyle w:val="ListParagraph"/>
        <w:numPr>
          <w:ilvl w:val="0"/>
          <w:numId w:val="2"/>
        </w:numPr>
        <w:spacing w:after="80" w:line="280" w:lineRule="auto"/>
      </w:pPr>
      <w:r>
        <w:rPr>
          <w:color w:val="1A1A1A"/>
        </w:rPr>
        <w:t>H2: Step by step: locating your office (link directory) → lodging the complaint → the invitation to the other party → settlement or referral</w:t>
      </w:r>
    </w:p>
    <w:p w:rsidR="003C62DF" w:rsidRDefault="00E56426">
      <w:pPr>
        <w:pStyle w:val="ListParagraph"/>
        <w:numPr>
          <w:ilvl w:val="0"/>
          <w:numId w:val="2"/>
        </w:numPr>
        <w:spacing w:after="80" w:line="280" w:lineRule="auto"/>
      </w:pPr>
      <w:r>
        <w:rPr>
          <w:color w:val="1A1A1A"/>
        </w:rPr>
        <w:t>H2: What happens if settlement fails — referral to the Magistrate Court, in plain terms</w:t>
      </w:r>
    </w:p>
    <w:p w:rsidR="003C62DF" w:rsidRDefault="00E56426">
      <w:pPr>
        <w:pStyle w:val="ListParagraph"/>
        <w:numPr>
          <w:ilvl w:val="0"/>
          <w:numId w:val="2"/>
        </w:numPr>
        <w:spacing w:after="80" w:line="280" w:lineRule="auto"/>
      </w:pPr>
      <w:r>
        <w:rPr>
          <w:color w:val="1A1A1A"/>
        </w:rPr>
        <w:t>H2: Timelines and realistic expectations</w:t>
      </w:r>
    </w:p>
    <w:p w:rsidR="003C62DF" w:rsidRDefault="00E56426">
      <w:pPr>
        <w:pStyle w:val="ListParagraph"/>
        <w:numPr>
          <w:ilvl w:val="0"/>
          <w:numId w:val="2"/>
        </w:numPr>
        <w:spacing w:after="80" w:line="280" w:lineRule="auto"/>
      </w:pPr>
      <w:r>
        <w:rPr>
          <w:color w:val="1A1A1A"/>
        </w:rPr>
        <w:t>H2: FAQ schema: Does it cost money? Can I complain about advance rent? Must I attend in person?</w:t>
      </w:r>
    </w:p>
    <w:p w:rsidR="003C62DF" w:rsidRDefault="00E56426">
      <w:pPr>
        <w:pStyle w:val="ListParagraph"/>
        <w:numPr>
          <w:ilvl w:val="0"/>
          <w:numId w:val="2"/>
        </w:numPr>
        <w:spacing w:after="80" w:line="280" w:lineRule="auto"/>
      </w:pPr>
      <w:r>
        <w:rPr>
          <w:color w:val="1A1A1A"/>
        </w:rPr>
        <w:lastRenderedPageBreak/>
        <w:t>Caution: this article is writte</w:t>
      </w:r>
      <w:r>
        <w:rPr>
          <w:color w:val="1A1A1A"/>
        </w:rPr>
        <w:t>n strictly as public-process education, with no reference to any specific office's personnel or to PRC influence over outcomes</w:t>
      </w:r>
    </w:p>
    <w:p w:rsidR="003C62DF" w:rsidRDefault="003C62DF">
      <w:pPr>
        <w:spacing w:after="80"/>
      </w:pPr>
    </w:p>
    <w:p w:rsidR="003C62DF" w:rsidRDefault="00E56426">
      <w:pPr>
        <w:pStyle w:val="Heading2"/>
      </w:pPr>
      <w:r>
        <w:t>Article 4 — The Landlord's Guide to Increasing Rent Lawfully in Ghana</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C62DF">
        <w:tblPrEx>
          <w:tblCellMar>
            <w:top w:w="0" w:type="dxa"/>
            <w:bottom w:w="0" w:type="dxa"/>
          </w:tblCellMar>
        </w:tblPrEx>
        <w:tc>
          <w:tcPr>
            <w:tcW w:w="2600" w:type="dxa"/>
            <w:tcBorders>
              <w:top w:val="single" w:sz="1" w:space="0" w:color="C9C2B8"/>
              <w:left w:val="single" w:sz="1" w:space="0" w:color="C9C2B8"/>
              <w:bottom w:val="single" w:sz="1" w:space="0" w:color="C9C2B8"/>
              <w:right w:val="single" w:sz="1" w:space="0" w:color="C9C2B8"/>
            </w:tcBorders>
            <w:shd w:val="clear" w:color="auto" w:fill="E9E4DC"/>
            <w:tcMar>
              <w:top w:w="80" w:type="dxa"/>
              <w:left w:w="120" w:type="dxa"/>
              <w:bottom w:w="80" w:type="dxa"/>
              <w:right w:w="120" w:type="dxa"/>
            </w:tcMar>
          </w:tcPr>
          <w:p w:rsidR="003C62DF" w:rsidRDefault="00E56426">
            <w:pPr>
              <w:spacing w:line="270" w:lineRule="auto"/>
            </w:pPr>
            <w:r>
              <w:rPr>
                <w:b/>
                <w:bCs/>
                <w:color w:val="36221C"/>
                <w:sz w:val="20"/>
                <w:szCs w:val="20"/>
              </w:rPr>
              <w:t>URL</w:t>
            </w:r>
          </w:p>
        </w:tc>
        <w:tc>
          <w:tcPr>
            <w:tcW w:w="67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/knowledge/rent-increase-law-ghana/</w:t>
            </w:r>
          </w:p>
        </w:tc>
      </w:tr>
      <w:tr w:rsidR="003C62DF">
        <w:tblPrEx>
          <w:tblCellMar>
            <w:top w:w="0" w:type="dxa"/>
            <w:bottom w:w="0" w:type="dxa"/>
          </w:tblCellMar>
        </w:tblPrEx>
        <w:tc>
          <w:tcPr>
            <w:tcW w:w="2600" w:type="dxa"/>
            <w:tcBorders>
              <w:top w:val="single" w:sz="1" w:space="0" w:color="C9C2B8"/>
              <w:left w:val="single" w:sz="1" w:space="0" w:color="C9C2B8"/>
              <w:bottom w:val="single" w:sz="1" w:space="0" w:color="C9C2B8"/>
              <w:right w:val="single" w:sz="1" w:space="0" w:color="C9C2B8"/>
            </w:tcBorders>
            <w:shd w:val="clear" w:color="auto" w:fill="E9E4DC"/>
            <w:tcMar>
              <w:top w:w="80" w:type="dxa"/>
              <w:left w:w="120" w:type="dxa"/>
              <w:bottom w:w="80" w:type="dxa"/>
              <w:right w:w="120" w:type="dxa"/>
            </w:tcMar>
          </w:tcPr>
          <w:p w:rsidR="003C62DF" w:rsidRDefault="00E56426">
            <w:pPr>
              <w:spacing w:line="270" w:lineRule="auto"/>
            </w:pPr>
            <w:r>
              <w:rPr>
                <w:b/>
                <w:bCs/>
                <w:color w:val="36221C"/>
                <w:sz w:val="20"/>
                <w:szCs w:val="20"/>
              </w:rPr>
              <w:t>Primary keyword</w:t>
            </w:r>
          </w:p>
        </w:tc>
        <w:tc>
          <w:tcPr>
            <w:tcW w:w="67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r</w:t>
            </w:r>
            <w:r>
              <w:rPr>
                <w:color w:val="1A1A1A"/>
                <w:sz w:val="20"/>
                <w:szCs w:val="20"/>
              </w:rPr>
              <w:t>ent increase law in Ghana</w:t>
            </w:r>
          </w:p>
        </w:tc>
      </w:tr>
      <w:tr w:rsidR="003C62DF">
        <w:tblPrEx>
          <w:tblCellMar>
            <w:top w:w="0" w:type="dxa"/>
            <w:bottom w:w="0" w:type="dxa"/>
          </w:tblCellMar>
        </w:tblPrEx>
        <w:tc>
          <w:tcPr>
            <w:tcW w:w="2600" w:type="dxa"/>
            <w:tcBorders>
              <w:top w:val="single" w:sz="1" w:space="0" w:color="C9C2B8"/>
              <w:left w:val="single" w:sz="1" w:space="0" w:color="C9C2B8"/>
              <w:bottom w:val="single" w:sz="1" w:space="0" w:color="C9C2B8"/>
              <w:right w:val="single" w:sz="1" w:space="0" w:color="C9C2B8"/>
            </w:tcBorders>
            <w:shd w:val="clear" w:color="auto" w:fill="E9E4DC"/>
            <w:tcMar>
              <w:top w:w="80" w:type="dxa"/>
              <w:left w:w="120" w:type="dxa"/>
              <w:bottom w:w="80" w:type="dxa"/>
              <w:right w:w="120" w:type="dxa"/>
            </w:tcMar>
          </w:tcPr>
          <w:p w:rsidR="003C62DF" w:rsidRDefault="00E56426">
            <w:pPr>
              <w:spacing w:line="270" w:lineRule="auto"/>
            </w:pPr>
            <w:r>
              <w:rPr>
                <w:b/>
                <w:bCs/>
                <w:color w:val="36221C"/>
                <w:sz w:val="20"/>
                <w:szCs w:val="20"/>
              </w:rPr>
              <w:t>Secondary</w:t>
            </w:r>
          </w:p>
        </w:tc>
        <w:tc>
          <w:tcPr>
            <w:tcW w:w="67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how much can a landlord increase rent in Ghana · rent increment notice Ghana · rent assessment Ghana</w:t>
            </w:r>
          </w:p>
        </w:tc>
      </w:tr>
      <w:tr w:rsidR="003C62DF">
        <w:tblPrEx>
          <w:tblCellMar>
            <w:top w:w="0" w:type="dxa"/>
            <w:bottom w:w="0" w:type="dxa"/>
          </w:tblCellMar>
        </w:tblPrEx>
        <w:tc>
          <w:tcPr>
            <w:tcW w:w="2600" w:type="dxa"/>
            <w:tcBorders>
              <w:top w:val="single" w:sz="1" w:space="0" w:color="C9C2B8"/>
              <w:left w:val="single" w:sz="1" w:space="0" w:color="C9C2B8"/>
              <w:bottom w:val="single" w:sz="1" w:space="0" w:color="C9C2B8"/>
              <w:right w:val="single" w:sz="1" w:space="0" w:color="C9C2B8"/>
            </w:tcBorders>
            <w:shd w:val="clear" w:color="auto" w:fill="E9E4DC"/>
            <w:tcMar>
              <w:top w:w="80" w:type="dxa"/>
              <w:left w:w="120" w:type="dxa"/>
              <w:bottom w:w="80" w:type="dxa"/>
              <w:right w:w="120" w:type="dxa"/>
            </w:tcMar>
          </w:tcPr>
          <w:p w:rsidR="003C62DF" w:rsidRDefault="00E56426">
            <w:pPr>
              <w:spacing w:line="270" w:lineRule="auto"/>
            </w:pPr>
            <w:r>
              <w:rPr>
                <w:b/>
                <w:bCs/>
                <w:color w:val="36221C"/>
                <w:sz w:val="20"/>
                <w:szCs w:val="20"/>
              </w:rPr>
              <w:t>Search intent</w:t>
            </w:r>
          </w:p>
        </w:tc>
        <w:tc>
          <w:tcPr>
            <w:tcW w:w="67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Informational, landlord-side; feeds the rent assessment advisory service</w:t>
            </w:r>
          </w:p>
        </w:tc>
      </w:tr>
      <w:tr w:rsidR="003C62DF">
        <w:tblPrEx>
          <w:tblCellMar>
            <w:top w:w="0" w:type="dxa"/>
            <w:bottom w:w="0" w:type="dxa"/>
          </w:tblCellMar>
        </w:tblPrEx>
        <w:tc>
          <w:tcPr>
            <w:tcW w:w="2600" w:type="dxa"/>
            <w:tcBorders>
              <w:top w:val="single" w:sz="1" w:space="0" w:color="C9C2B8"/>
              <w:left w:val="single" w:sz="1" w:space="0" w:color="C9C2B8"/>
              <w:bottom w:val="single" w:sz="1" w:space="0" w:color="C9C2B8"/>
              <w:right w:val="single" w:sz="1" w:space="0" w:color="C9C2B8"/>
            </w:tcBorders>
            <w:shd w:val="clear" w:color="auto" w:fill="E9E4DC"/>
            <w:tcMar>
              <w:top w:w="80" w:type="dxa"/>
              <w:left w:w="120" w:type="dxa"/>
              <w:bottom w:w="80" w:type="dxa"/>
              <w:right w:w="120" w:type="dxa"/>
            </w:tcMar>
          </w:tcPr>
          <w:p w:rsidR="003C62DF" w:rsidRDefault="00E56426">
            <w:pPr>
              <w:spacing w:line="270" w:lineRule="auto"/>
            </w:pPr>
            <w:r>
              <w:rPr>
                <w:b/>
                <w:bCs/>
                <w:color w:val="36221C"/>
                <w:sz w:val="20"/>
                <w:szCs w:val="20"/>
              </w:rPr>
              <w:t>Product tie-in</w:t>
            </w:r>
          </w:p>
        </w:tc>
        <w:tc>
          <w:tcPr>
            <w:tcW w:w="67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Rent assessment advisory (services page); rent increase notice template</w:t>
            </w:r>
          </w:p>
        </w:tc>
      </w:tr>
    </w:tbl>
    <w:p w:rsidR="003C62DF" w:rsidRDefault="00E56426">
      <w:pPr>
        <w:spacing w:before="160" w:after="100"/>
      </w:pPr>
      <w:r>
        <w:rPr>
          <w:b/>
          <w:bCs/>
          <w:color w:val="36221C"/>
        </w:rPr>
        <w:t>Outline</w:t>
      </w:r>
    </w:p>
    <w:p w:rsidR="003C62DF" w:rsidRDefault="00E56426">
      <w:pPr>
        <w:pStyle w:val="ListParagraph"/>
        <w:numPr>
          <w:ilvl w:val="0"/>
          <w:numId w:val="2"/>
        </w:numPr>
        <w:spacing w:after="80" w:line="280" w:lineRule="auto"/>
      </w:pPr>
      <w:r>
        <w:rPr>
          <w:color w:val="1A1A1A"/>
        </w:rPr>
        <w:t>H2: The legal frame — recoverable rent and rent assessment under Act 220, demystified</w:t>
      </w:r>
    </w:p>
    <w:p w:rsidR="003C62DF" w:rsidRDefault="00E56426">
      <w:pPr>
        <w:pStyle w:val="ListParagraph"/>
        <w:numPr>
          <w:ilvl w:val="0"/>
          <w:numId w:val="2"/>
        </w:numPr>
        <w:spacing w:after="80" w:line="280" w:lineRule="auto"/>
      </w:pPr>
      <w:r>
        <w:rPr>
          <w:color w:val="1A1A1A"/>
        </w:rPr>
        <w:t>H2: The wrong way (and its consequences) — unilateral mid-term increases, retaliatory inc</w:t>
      </w:r>
      <w:r>
        <w:rPr>
          <w:color w:val="1A1A1A"/>
        </w:rPr>
        <w:t>reases, lockouts</w:t>
      </w:r>
    </w:p>
    <w:p w:rsidR="003C62DF" w:rsidRDefault="00E56426">
      <w:pPr>
        <w:pStyle w:val="ListParagraph"/>
        <w:numPr>
          <w:ilvl w:val="0"/>
          <w:numId w:val="2"/>
        </w:numPr>
        <w:spacing w:after="80" w:line="280" w:lineRule="auto"/>
      </w:pPr>
      <w:r>
        <w:rPr>
          <w:color w:val="1A1A1A"/>
        </w:rPr>
        <w:t>H2: The right way, in four steps — review the agreement → give proper written notice → justify the new figure → document acceptance</w:t>
      </w:r>
    </w:p>
    <w:p w:rsidR="003C62DF" w:rsidRDefault="00E56426">
      <w:pPr>
        <w:pStyle w:val="ListParagraph"/>
        <w:numPr>
          <w:ilvl w:val="0"/>
          <w:numId w:val="2"/>
        </w:numPr>
        <w:spacing w:after="80" w:line="280" w:lineRule="auto"/>
      </w:pPr>
      <w:r>
        <w:rPr>
          <w:color w:val="1A1A1A"/>
        </w:rPr>
        <w:t>H2: When the tenant disputes the increase — the assessment route</w:t>
      </w:r>
    </w:p>
    <w:p w:rsidR="003C62DF" w:rsidRDefault="00E56426">
      <w:pPr>
        <w:pStyle w:val="ListParagraph"/>
        <w:numPr>
          <w:ilvl w:val="0"/>
          <w:numId w:val="2"/>
        </w:numPr>
        <w:spacing w:after="80" w:line="280" w:lineRule="auto"/>
      </w:pPr>
      <w:r>
        <w:rPr>
          <w:color w:val="1A1A1A"/>
        </w:rPr>
        <w:t>H2: Market reality: pricing against compar</w:t>
      </w:r>
      <w:r>
        <w:rPr>
          <w:color w:val="1A1A1A"/>
        </w:rPr>
        <w:t>able evidence, the surveyor's perspective</w:t>
      </w:r>
    </w:p>
    <w:p w:rsidR="003C62DF" w:rsidRDefault="00E56426">
      <w:pPr>
        <w:pStyle w:val="ListParagraph"/>
        <w:numPr>
          <w:ilvl w:val="0"/>
          <w:numId w:val="2"/>
        </w:numPr>
        <w:spacing w:after="80" w:line="280" w:lineRule="auto"/>
      </w:pPr>
      <w:r>
        <w:rPr>
          <w:color w:val="1A1A1A"/>
        </w:rPr>
        <w:t>H2: FAQ schema: How often can rent increase? Is there a percentage cap? Can rent rise mid-tenancy?</w:t>
      </w:r>
    </w:p>
    <w:p w:rsidR="003C62DF" w:rsidRDefault="00E56426">
      <w:pPr>
        <w:pStyle w:val="ListParagraph"/>
        <w:numPr>
          <w:ilvl w:val="0"/>
          <w:numId w:val="2"/>
        </w:numPr>
        <w:spacing w:after="80" w:line="280" w:lineRule="auto"/>
      </w:pPr>
      <w:r>
        <w:rPr>
          <w:color w:val="1A1A1A"/>
        </w:rPr>
        <w:t>CTA: rent assessment advisory; compliant notice template</w:t>
      </w:r>
    </w:p>
    <w:p w:rsidR="003C62DF" w:rsidRDefault="003C62DF">
      <w:pPr>
        <w:spacing w:after="80"/>
      </w:pPr>
    </w:p>
    <w:p w:rsidR="003C62DF" w:rsidRDefault="00E56426">
      <w:pPr>
        <w:pStyle w:val="Heading2"/>
      </w:pPr>
      <w:r>
        <w:t>Article 5 — Eviction in Ghana: The Lawful Path to Recovering Your Property</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C62DF">
        <w:tblPrEx>
          <w:tblCellMar>
            <w:top w:w="0" w:type="dxa"/>
            <w:bottom w:w="0" w:type="dxa"/>
          </w:tblCellMar>
        </w:tblPrEx>
        <w:tc>
          <w:tcPr>
            <w:tcW w:w="2600" w:type="dxa"/>
            <w:tcBorders>
              <w:top w:val="single" w:sz="1" w:space="0" w:color="C9C2B8"/>
              <w:left w:val="single" w:sz="1" w:space="0" w:color="C9C2B8"/>
              <w:bottom w:val="single" w:sz="1" w:space="0" w:color="C9C2B8"/>
              <w:right w:val="single" w:sz="1" w:space="0" w:color="C9C2B8"/>
            </w:tcBorders>
            <w:shd w:val="clear" w:color="auto" w:fill="E9E4DC"/>
            <w:tcMar>
              <w:top w:w="80" w:type="dxa"/>
              <w:left w:w="120" w:type="dxa"/>
              <w:bottom w:w="80" w:type="dxa"/>
              <w:right w:w="120" w:type="dxa"/>
            </w:tcMar>
          </w:tcPr>
          <w:p w:rsidR="003C62DF" w:rsidRDefault="00E56426">
            <w:pPr>
              <w:spacing w:line="270" w:lineRule="auto"/>
            </w:pPr>
            <w:r>
              <w:rPr>
                <w:b/>
                <w:bCs/>
                <w:color w:val="36221C"/>
                <w:sz w:val="20"/>
                <w:szCs w:val="20"/>
              </w:rPr>
              <w:t>URL</w:t>
            </w:r>
          </w:p>
        </w:tc>
        <w:tc>
          <w:tcPr>
            <w:tcW w:w="67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/knowledge/eviction-process-ghana/</w:t>
            </w:r>
          </w:p>
        </w:tc>
      </w:tr>
      <w:tr w:rsidR="003C62DF">
        <w:tblPrEx>
          <w:tblCellMar>
            <w:top w:w="0" w:type="dxa"/>
            <w:bottom w:w="0" w:type="dxa"/>
          </w:tblCellMar>
        </w:tblPrEx>
        <w:tc>
          <w:tcPr>
            <w:tcW w:w="2600" w:type="dxa"/>
            <w:tcBorders>
              <w:top w:val="single" w:sz="1" w:space="0" w:color="C9C2B8"/>
              <w:left w:val="single" w:sz="1" w:space="0" w:color="C9C2B8"/>
              <w:bottom w:val="single" w:sz="1" w:space="0" w:color="C9C2B8"/>
              <w:right w:val="single" w:sz="1" w:space="0" w:color="C9C2B8"/>
            </w:tcBorders>
            <w:shd w:val="clear" w:color="auto" w:fill="E9E4DC"/>
            <w:tcMar>
              <w:top w:w="80" w:type="dxa"/>
              <w:left w:w="120" w:type="dxa"/>
              <w:bottom w:w="80" w:type="dxa"/>
              <w:right w:w="120" w:type="dxa"/>
            </w:tcMar>
          </w:tcPr>
          <w:p w:rsidR="003C62DF" w:rsidRDefault="00E56426">
            <w:pPr>
              <w:spacing w:line="270" w:lineRule="auto"/>
            </w:pPr>
            <w:r>
              <w:rPr>
                <w:b/>
                <w:bCs/>
                <w:color w:val="36221C"/>
                <w:sz w:val="20"/>
                <w:szCs w:val="20"/>
              </w:rPr>
              <w:t>Primary keyword</w:t>
            </w:r>
          </w:p>
        </w:tc>
        <w:tc>
          <w:tcPr>
            <w:tcW w:w="67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eviction process in Ghana</w:t>
            </w:r>
          </w:p>
        </w:tc>
      </w:tr>
      <w:tr w:rsidR="003C62DF">
        <w:tblPrEx>
          <w:tblCellMar>
            <w:top w:w="0" w:type="dxa"/>
            <w:bottom w:w="0" w:type="dxa"/>
          </w:tblCellMar>
        </w:tblPrEx>
        <w:tc>
          <w:tcPr>
            <w:tcW w:w="2600" w:type="dxa"/>
            <w:tcBorders>
              <w:top w:val="single" w:sz="1" w:space="0" w:color="C9C2B8"/>
              <w:left w:val="single" w:sz="1" w:space="0" w:color="C9C2B8"/>
              <w:bottom w:val="single" w:sz="1" w:space="0" w:color="C9C2B8"/>
              <w:right w:val="single" w:sz="1" w:space="0" w:color="C9C2B8"/>
            </w:tcBorders>
            <w:shd w:val="clear" w:color="auto" w:fill="E9E4DC"/>
            <w:tcMar>
              <w:top w:w="80" w:type="dxa"/>
              <w:left w:w="120" w:type="dxa"/>
              <w:bottom w:w="80" w:type="dxa"/>
              <w:right w:w="120" w:type="dxa"/>
            </w:tcMar>
          </w:tcPr>
          <w:p w:rsidR="003C62DF" w:rsidRDefault="00E56426">
            <w:pPr>
              <w:spacing w:line="270" w:lineRule="auto"/>
            </w:pPr>
            <w:r>
              <w:rPr>
                <w:b/>
                <w:bCs/>
                <w:color w:val="36221C"/>
                <w:sz w:val="20"/>
                <w:szCs w:val="20"/>
              </w:rPr>
              <w:t>Secondary</w:t>
            </w:r>
          </w:p>
        </w:tc>
        <w:tc>
          <w:tcPr>
            <w:tcW w:w="67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notice to quit Ghana · how to evict a tenant in Ghana legally · recovery of possession A</w:t>
            </w:r>
            <w:r>
              <w:rPr>
                <w:color w:val="1A1A1A"/>
                <w:sz w:val="20"/>
                <w:szCs w:val="20"/>
              </w:rPr>
              <w:t>ct 220</w:t>
            </w:r>
          </w:p>
        </w:tc>
      </w:tr>
      <w:tr w:rsidR="003C62DF">
        <w:tblPrEx>
          <w:tblCellMar>
            <w:top w:w="0" w:type="dxa"/>
            <w:bottom w:w="0" w:type="dxa"/>
          </w:tblCellMar>
        </w:tblPrEx>
        <w:tc>
          <w:tcPr>
            <w:tcW w:w="2600" w:type="dxa"/>
            <w:tcBorders>
              <w:top w:val="single" w:sz="1" w:space="0" w:color="C9C2B8"/>
              <w:left w:val="single" w:sz="1" w:space="0" w:color="C9C2B8"/>
              <w:bottom w:val="single" w:sz="1" w:space="0" w:color="C9C2B8"/>
              <w:right w:val="single" w:sz="1" w:space="0" w:color="C9C2B8"/>
            </w:tcBorders>
            <w:shd w:val="clear" w:color="auto" w:fill="E9E4DC"/>
            <w:tcMar>
              <w:top w:w="80" w:type="dxa"/>
              <w:left w:w="120" w:type="dxa"/>
              <w:bottom w:w="80" w:type="dxa"/>
              <w:right w:w="120" w:type="dxa"/>
            </w:tcMar>
          </w:tcPr>
          <w:p w:rsidR="003C62DF" w:rsidRDefault="00E56426">
            <w:pPr>
              <w:spacing w:line="270" w:lineRule="auto"/>
            </w:pPr>
            <w:r>
              <w:rPr>
                <w:b/>
                <w:bCs/>
                <w:color w:val="36221C"/>
                <w:sz w:val="20"/>
                <w:szCs w:val="20"/>
              </w:rPr>
              <w:t>Search intent</w:t>
            </w:r>
          </w:p>
        </w:tc>
        <w:tc>
          <w:tcPr>
            <w:tcW w:w="67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High-stakes informational; strongest consultation-funnel article of the five</w:t>
            </w:r>
          </w:p>
        </w:tc>
      </w:tr>
      <w:tr w:rsidR="003C62DF">
        <w:tblPrEx>
          <w:tblCellMar>
            <w:top w:w="0" w:type="dxa"/>
            <w:bottom w:w="0" w:type="dxa"/>
          </w:tblCellMar>
        </w:tblPrEx>
        <w:tc>
          <w:tcPr>
            <w:tcW w:w="2600" w:type="dxa"/>
            <w:tcBorders>
              <w:top w:val="single" w:sz="1" w:space="0" w:color="C9C2B8"/>
              <w:left w:val="single" w:sz="1" w:space="0" w:color="C9C2B8"/>
              <w:bottom w:val="single" w:sz="1" w:space="0" w:color="C9C2B8"/>
              <w:right w:val="single" w:sz="1" w:space="0" w:color="C9C2B8"/>
            </w:tcBorders>
            <w:shd w:val="clear" w:color="auto" w:fill="E9E4DC"/>
            <w:tcMar>
              <w:top w:w="80" w:type="dxa"/>
              <w:left w:w="120" w:type="dxa"/>
              <w:bottom w:w="80" w:type="dxa"/>
              <w:right w:w="120" w:type="dxa"/>
            </w:tcMar>
          </w:tcPr>
          <w:p w:rsidR="003C62DF" w:rsidRDefault="00E56426">
            <w:pPr>
              <w:spacing w:line="270" w:lineRule="auto"/>
            </w:pPr>
            <w:r>
              <w:rPr>
                <w:b/>
                <w:bCs/>
                <w:color w:val="36221C"/>
                <w:sz w:val="20"/>
                <w:szCs w:val="20"/>
              </w:rPr>
              <w:t>Product tie-in</w:t>
            </w:r>
          </w:p>
        </w:tc>
        <w:tc>
          <w:tcPr>
            <w:tcW w:w="67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Dispute guidance consultation; notice-to-quit / recovery documentation</w:t>
            </w:r>
          </w:p>
        </w:tc>
      </w:tr>
    </w:tbl>
    <w:p w:rsidR="003C62DF" w:rsidRDefault="00E56426">
      <w:pPr>
        <w:spacing w:before="160" w:after="100"/>
      </w:pPr>
      <w:r>
        <w:rPr>
          <w:b/>
          <w:bCs/>
          <w:color w:val="36221C"/>
        </w:rPr>
        <w:t>Outline</w:t>
      </w:r>
    </w:p>
    <w:p w:rsidR="003C62DF" w:rsidRDefault="00E56426">
      <w:pPr>
        <w:pStyle w:val="ListParagraph"/>
        <w:numPr>
          <w:ilvl w:val="0"/>
          <w:numId w:val="2"/>
        </w:numPr>
        <w:spacing w:after="80" w:line="280" w:lineRule="auto"/>
      </w:pPr>
      <w:r>
        <w:rPr>
          <w:color w:val="1A1A1A"/>
        </w:rPr>
        <w:t>H2: First principle — self-help eviction is unlawful: no lockouts, no removing roofs, no cutting utilities</w:t>
      </w:r>
    </w:p>
    <w:p w:rsidR="003C62DF" w:rsidRDefault="00E56426">
      <w:pPr>
        <w:pStyle w:val="ListParagraph"/>
        <w:numPr>
          <w:ilvl w:val="0"/>
          <w:numId w:val="2"/>
        </w:numPr>
        <w:spacing w:after="80" w:line="280" w:lineRule="auto"/>
      </w:pPr>
      <w:r>
        <w:rPr>
          <w:color w:val="1A1A1A"/>
        </w:rPr>
        <w:t>H2: The statutory grounds for recovery of possession under Act 220</w:t>
      </w:r>
    </w:p>
    <w:p w:rsidR="003C62DF" w:rsidRDefault="00E56426">
      <w:pPr>
        <w:pStyle w:val="ListParagraph"/>
        <w:numPr>
          <w:ilvl w:val="0"/>
          <w:numId w:val="2"/>
        </w:numPr>
        <w:spacing w:after="80" w:line="280" w:lineRule="auto"/>
      </w:pPr>
      <w:r>
        <w:rPr>
          <w:color w:val="1A1A1A"/>
        </w:rPr>
        <w:lastRenderedPageBreak/>
        <w:t>H2: Notice done properly — form, service, and the proof you must keep</w:t>
      </w:r>
    </w:p>
    <w:p w:rsidR="003C62DF" w:rsidRDefault="00E56426">
      <w:pPr>
        <w:pStyle w:val="ListParagraph"/>
        <w:numPr>
          <w:ilvl w:val="0"/>
          <w:numId w:val="2"/>
        </w:numPr>
        <w:spacing w:after="80" w:line="280" w:lineRule="auto"/>
      </w:pPr>
      <w:r>
        <w:rPr>
          <w:color w:val="1A1A1A"/>
        </w:rPr>
        <w:t>H2: The proc</w:t>
      </w:r>
      <w:r>
        <w:rPr>
          <w:color w:val="1A1A1A"/>
        </w:rPr>
        <w:t>edural path — demand → notice → Rent Control / court process → lawful execution</w:t>
      </w:r>
    </w:p>
    <w:p w:rsidR="003C62DF" w:rsidRDefault="00E56426">
      <w:pPr>
        <w:pStyle w:val="ListParagraph"/>
        <w:numPr>
          <w:ilvl w:val="0"/>
          <w:numId w:val="2"/>
        </w:numPr>
        <w:spacing w:after="80" w:line="280" w:lineRule="auto"/>
      </w:pPr>
      <w:r>
        <w:rPr>
          <w:color w:val="1A1A1A"/>
        </w:rPr>
        <w:t>H2: The cost of getting it wrong — liability landlords rarely price in</w:t>
      </w:r>
    </w:p>
    <w:p w:rsidR="003C62DF" w:rsidRDefault="00E56426">
      <w:pPr>
        <w:pStyle w:val="ListParagraph"/>
        <w:numPr>
          <w:ilvl w:val="0"/>
          <w:numId w:val="2"/>
        </w:numPr>
        <w:spacing w:after="80" w:line="280" w:lineRule="auto"/>
      </w:pPr>
      <w:r>
        <w:rPr>
          <w:color w:val="1A1A1A"/>
        </w:rPr>
        <w:t>H2: For tenants reading this — your protections at each stage (dual-audience capture)</w:t>
      </w:r>
    </w:p>
    <w:p w:rsidR="003C62DF" w:rsidRDefault="00E56426">
      <w:pPr>
        <w:pStyle w:val="ListParagraph"/>
        <w:numPr>
          <w:ilvl w:val="0"/>
          <w:numId w:val="2"/>
        </w:numPr>
        <w:spacing w:after="80" w:line="280" w:lineRule="auto"/>
      </w:pPr>
      <w:r>
        <w:rPr>
          <w:color w:val="1A1A1A"/>
        </w:rPr>
        <w:t>H2: FAQ schema: How</w:t>
      </w:r>
      <w:r>
        <w:rPr>
          <w:color w:val="1A1A1A"/>
        </w:rPr>
        <w:t xml:space="preserve"> much notice is required? Can a landlord evict without a court order? What if the tenancy was verbal?</w:t>
      </w:r>
    </w:p>
    <w:p w:rsidR="003C62DF" w:rsidRDefault="00E56426">
      <w:pPr>
        <w:pStyle w:val="ListParagraph"/>
        <w:numPr>
          <w:ilvl w:val="0"/>
          <w:numId w:val="2"/>
        </w:numPr>
        <w:spacing w:after="80" w:line="280" w:lineRule="auto"/>
      </w:pPr>
      <w:r>
        <w:rPr>
          <w:color w:val="1A1A1A"/>
        </w:rPr>
        <w:t>CTA: dispute guidance consultation with WhatsApp click-to-chat</w:t>
      </w:r>
    </w:p>
    <w:p w:rsidR="003C62DF" w:rsidRDefault="003C62DF">
      <w:pPr>
        <w:spacing w:after="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62DF">
        <w:tblPrEx>
          <w:tblCellMar>
            <w:top w:w="0" w:type="dxa"/>
            <w:bottom w:w="0" w:type="dxa"/>
          </w:tblCellMar>
        </w:tblPrEx>
        <w:tc>
          <w:tcPr>
            <w:tcW w:w="9360" w:type="dxa"/>
            <w:tcBorders>
              <w:top w:val="single" w:sz="1" w:space="0" w:color="C9C2B8"/>
              <w:left w:val="single" w:sz="24" w:space="0" w:color="516984"/>
              <w:bottom w:val="single" w:sz="1" w:space="0" w:color="C9C2B8"/>
              <w:right w:val="single" w:sz="1" w:space="0" w:color="C9C2B8"/>
            </w:tcBorders>
            <w:shd w:val="clear" w:color="auto" w:fill="F4F1EC"/>
            <w:tcMar>
              <w:top w:w="120" w:type="dxa"/>
              <w:left w:w="160" w:type="dxa"/>
              <w:bottom w:w="120" w:type="dxa"/>
              <w:right w:w="160" w:type="dxa"/>
            </w:tcMar>
          </w:tcPr>
          <w:p w:rsidR="003C62DF" w:rsidRDefault="00E56426">
            <w:pPr>
              <w:spacing w:line="290" w:lineRule="auto"/>
            </w:pPr>
            <w:r>
              <w:rPr>
                <w:color w:val="36221C"/>
                <w:sz w:val="21"/>
                <w:szCs w:val="21"/>
              </w:rPr>
              <w:t>Publishing order = the order above. Articles 1 and 3 build trust and links; Article 2 converts; Articles 4 and 5 feed the consulting desk. After these five, the next wave deepens each cluster (e.g. “Stamp duty on tenancy agreements”, “Service charge rules”</w:t>
            </w:r>
            <w:r>
              <w:rPr>
                <w:color w:val="36221C"/>
                <w:sz w:val="21"/>
                <w:szCs w:val="21"/>
              </w:rPr>
              <w:t>, “Caretaker vs. property manager”).</w:t>
            </w:r>
          </w:p>
        </w:tc>
      </w:tr>
    </w:tbl>
    <w:p w:rsidR="003C62DF" w:rsidRDefault="00E56426">
      <w:r>
        <w:br w:type="page"/>
      </w:r>
    </w:p>
    <w:p w:rsidR="003C62DF" w:rsidRDefault="00E56426">
      <w:pPr>
        <w:pStyle w:val="Heading1"/>
        <w:pBdr>
          <w:bottom w:val="single" w:sz="8" w:space="2" w:color="516984"/>
        </w:pBdr>
      </w:pPr>
      <w:r>
        <w:lastRenderedPageBreak/>
        <w:t>Part E — Implementation Notes (The Scaffold)</w:t>
      </w:r>
    </w:p>
    <w:p w:rsidR="003C62DF" w:rsidRDefault="00E56426">
      <w:pPr>
        <w:spacing w:after="140" w:line="300" w:lineRule="auto"/>
        <w:jc w:val="both"/>
      </w:pPr>
      <w:r>
        <w:rPr>
          <w:color w:val="1A1A1A"/>
        </w:rPr>
        <w:t>Delivered alongside this brief is a working site scaffold matching this architecture: an Astro static site with a markdown-based Knowledge Hub, styled in PRC'</w:t>
      </w:r>
      <w:r>
        <w:rPr>
          <w:color w:val="1A1A1A"/>
        </w:rPr>
        <w:t>s brand palette, ready to deploy on Netlify.</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4160"/>
      </w:tblGrid>
      <w:tr w:rsidR="003C62DF">
        <w:tblPrEx>
          <w:tblCellMar>
            <w:top w:w="0" w:type="dxa"/>
            <w:bottom w:w="0" w:type="dxa"/>
          </w:tblCellMar>
        </w:tblPrEx>
        <w:tc>
          <w:tcPr>
            <w:tcW w:w="2400" w:type="dxa"/>
            <w:tcBorders>
              <w:top w:val="single" w:sz="1" w:space="0" w:color="C9C2B8"/>
              <w:left w:val="single" w:sz="1" w:space="0" w:color="C9C2B8"/>
              <w:bottom w:val="single" w:sz="1" w:space="0" w:color="C9C2B8"/>
              <w:right w:val="single" w:sz="1" w:space="0" w:color="C9C2B8"/>
            </w:tcBorders>
            <w:shd w:val="clear" w:color="auto" w:fill="36221C"/>
            <w:tcMar>
              <w:top w:w="80" w:type="dxa"/>
              <w:left w:w="120" w:type="dxa"/>
              <w:bottom w:w="80" w:type="dxa"/>
              <w:right w:w="120" w:type="dxa"/>
            </w:tcMar>
          </w:tcPr>
          <w:p w:rsidR="003C62DF" w:rsidRDefault="00E56426">
            <w:pPr>
              <w:spacing w:line="270" w:lineRule="auto"/>
            </w:pPr>
            <w:r>
              <w:rPr>
                <w:b/>
                <w:bCs/>
                <w:color w:val="FFFFFF"/>
                <w:sz w:val="20"/>
                <w:szCs w:val="20"/>
              </w:rPr>
              <w:t>Decision</w:t>
            </w:r>
          </w:p>
        </w:tc>
        <w:tc>
          <w:tcPr>
            <w:tcW w:w="2800" w:type="dxa"/>
            <w:tcBorders>
              <w:top w:val="single" w:sz="1" w:space="0" w:color="C9C2B8"/>
              <w:left w:val="single" w:sz="1" w:space="0" w:color="C9C2B8"/>
              <w:bottom w:val="single" w:sz="1" w:space="0" w:color="C9C2B8"/>
              <w:right w:val="single" w:sz="1" w:space="0" w:color="C9C2B8"/>
            </w:tcBorders>
            <w:shd w:val="clear" w:color="auto" w:fill="36221C"/>
            <w:tcMar>
              <w:top w:w="80" w:type="dxa"/>
              <w:left w:w="120" w:type="dxa"/>
              <w:bottom w:w="80" w:type="dxa"/>
              <w:right w:w="120" w:type="dxa"/>
            </w:tcMar>
          </w:tcPr>
          <w:p w:rsidR="003C62DF" w:rsidRDefault="00E56426">
            <w:pPr>
              <w:spacing w:line="270" w:lineRule="auto"/>
            </w:pPr>
            <w:r>
              <w:rPr>
                <w:b/>
                <w:bCs/>
                <w:color w:val="FFFFFF"/>
                <w:sz w:val="20"/>
                <w:szCs w:val="20"/>
              </w:rPr>
              <w:t>Choice</w:t>
            </w:r>
          </w:p>
        </w:tc>
        <w:tc>
          <w:tcPr>
            <w:tcW w:w="4160" w:type="dxa"/>
            <w:tcBorders>
              <w:top w:val="single" w:sz="1" w:space="0" w:color="C9C2B8"/>
              <w:left w:val="single" w:sz="1" w:space="0" w:color="C9C2B8"/>
              <w:bottom w:val="single" w:sz="1" w:space="0" w:color="C9C2B8"/>
              <w:right w:val="single" w:sz="1" w:space="0" w:color="C9C2B8"/>
            </w:tcBorders>
            <w:shd w:val="clear" w:color="auto" w:fill="36221C"/>
            <w:tcMar>
              <w:top w:w="80" w:type="dxa"/>
              <w:left w:w="120" w:type="dxa"/>
              <w:bottom w:w="80" w:type="dxa"/>
              <w:right w:w="120" w:type="dxa"/>
            </w:tcMar>
          </w:tcPr>
          <w:p w:rsidR="003C62DF" w:rsidRDefault="00E56426">
            <w:pPr>
              <w:spacing w:line="270" w:lineRule="auto"/>
            </w:pPr>
            <w:r>
              <w:rPr>
                <w:b/>
                <w:bCs/>
                <w:color w:val="FFFFFF"/>
                <w:sz w:val="20"/>
                <w:szCs w:val="20"/>
              </w:rPr>
              <w:t>Rationale</w:t>
            </w:r>
          </w:p>
        </w:tc>
      </w:tr>
      <w:tr w:rsidR="003C62DF">
        <w:tblPrEx>
          <w:tblCellMar>
            <w:top w:w="0" w:type="dxa"/>
            <w:bottom w:w="0" w:type="dxa"/>
          </w:tblCellMar>
        </w:tblPrEx>
        <w:tc>
          <w:tcPr>
            <w:tcW w:w="24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Framework</w:t>
            </w:r>
          </w:p>
        </w:tc>
        <w:tc>
          <w:tcPr>
            <w:tcW w:w="28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Astro 4 (static output)</w:t>
            </w:r>
          </w:p>
        </w:tc>
        <w:tc>
          <w:tcPr>
            <w:tcW w:w="41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Fast, SEO-clean HTML, markdown content collections for the blog, near-zero hosting cost</w:t>
            </w:r>
          </w:p>
        </w:tc>
      </w:tr>
      <w:tr w:rsidR="003C62DF">
        <w:tblPrEx>
          <w:tblCellMar>
            <w:top w:w="0" w:type="dxa"/>
            <w:bottom w:w="0" w:type="dxa"/>
          </w:tblCellMar>
        </w:tblPrEx>
        <w:tc>
          <w:tcPr>
            <w:tcW w:w="24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Hosting</w:t>
            </w:r>
          </w:p>
        </w:tc>
        <w:tc>
          <w:tcPr>
            <w:tcW w:w="28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Netlify</w:t>
            </w:r>
          </w:p>
        </w:tc>
        <w:tc>
          <w:tcPr>
            <w:tcW w:w="41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Already connected to your tooling; free tier suffices at launch; forms available for the booking page</w:t>
            </w:r>
          </w:p>
        </w:tc>
      </w:tr>
      <w:tr w:rsidR="003C62DF">
        <w:tblPrEx>
          <w:tblCellMar>
            <w:top w:w="0" w:type="dxa"/>
            <w:bottom w:w="0" w:type="dxa"/>
          </w:tblCellMar>
        </w:tblPrEx>
        <w:tc>
          <w:tcPr>
            <w:tcW w:w="24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Blog</w:t>
            </w:r>
          </w:p>
        </w:tc>
        <w:tc>
          <w:tcPr>
            <w:tcW w:w="28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Markdown content collection</w:t>
            </w:r>
          </w:p>
        </w:tc>
        <w:tc>
          <w:tcPr>
            <w:tcW w:w="41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Articles are plain .md files — no CMS to maintain; Claude can draft directly into the repo</w:t>
            </w:r>
          </w:p>
        </w:tc>
      </w:tr>
      <w:tr w:rsidR="003C62DF">
        <w:tblPrEx>
          <w:tblCellMar>
            <w:top w:w="0" w:type="dxa"/>
            <w:bottom w:w="0" w:type="dxa"/>
          </w:tblCellMar>
        </w:tblPrEx>
        <w:tc>
          <w:tcPr>
            <w:tcW w:w="24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Checkout</w:t>
            </w:r>
          </w:p>
        </w:tc>
        <w:tc>
          <w:tcPr>
            <w:tcW w:w="28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Outbound to Selar</w:t>
            </w:r>
          </w:p>
        </w:tc>
        <w:tc>
          <w:tcPr>
            <w:tcW w:w="41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P</w:t>
            </w:r>
            <w:r>
              <w:rPr>
                <w:color w:val="1A1A1A"/>
                <w:sz w:val="20"/>
                <w:szCs w:val="20"/>
              </w:rPr>
              <w:t>hase 1 keeps payments where they work today; Phase 2 adds direct Paystack to cut commission</w:t>
            </w:r>
          </w:p>
        </w:tc>
      </w:tr>
      <w:tr w:rsidR="003C62DF">
        <w:tblPrEx>
          <w:tblCellMar>
            <w:top w:w="0" w:type="dxa"/>
            <w:bottom w:w="0" w:type="dxa"/>
          </w:tblCellMar>
        </w:tblPrEx>
        <w:tc>
          <w:tcPr>
            <w:tcW w:w="24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Tools</w:t>
            </w:r>
          </w:p>
        </w:tc>
        <w:tc>
          <w:tcPr>
            <w:tcW w:w="28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Client-side JS calculators</w:t>
            </w:r>
          </w:p>
        </w:tc>
        <w:tc>
          <w:tcPr>
            <w:tcW w:w="41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Rent advance calculator included in the scaffold as the first interactive asset</w:t>
            </w:r>
          </w:p>
        </w:tc>
      </w:tr>
      <w:tr w:rsidR="003C62DF">
        <w:tblPrEx>
          <w:tblCellMar>
            <w:top w:w="0" w:type="dxa"/>
            <w:bottom w:w="0" w:type="dxa"/>
          </w:tblCellMar>
        </w:tblPrEx>
        <w:tc>
          <w:tcPr>
            <w:tcW w:w="24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Analytics</w:t>
            </w:r>
          </w:p>
        </w:tc>
        <w:tc>
          <w:tcPr>
            <w:tcW w:w="280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Netlify Analytics or Plausible</w:t>
            </w:r>
          </w:p>
        </w:tc>
        <w:tc>
          <w:tcPr>
            <w:tcW w:w="4160" w:type="dxa"/>
            <w:tcBorders>
              <w:top w:val="single" w:sz="1" w:space="0" w:color="C9C2B8"/>
              <w:left w:val="single" w:sz="1" w:space="0" w:color="C9C2B8"/>
              <w:bottom w:val="single" w:sz="1" w:space="0" w:color="C9C2B8"/>
              <w:right w:val="single" w:sz="1" w:space="0" w:color="C9C2B8"/>
            </w:tcBorders>
            <w:tcMar>
              <w:top w:w="80" w:type="dxa"/>
              <w:left w:w="120" w:type="dxa"/>
              <w:bottom w:w="80" w:type="dxa"/>
              <w:right w:w="120" w:type="dxa"/>
            </w:tcMar>
          </w:tcPr>
          <w:p w:rsidR="003C62DF" w:rsidRDefault="00E56426">
            <w:pPr>
              <w:spacing w:line="270" w:lineRule="auto"/>
            </w:pPr>
            <w:r>
              <w:rPr>
                <w:color w:val="1A1A1A"/>
                <w:sz w:val="20"/>
                <w:szCs w:val="20"/>
              </w:rPr>
              <w:t>Privacy-light, no cookie banner burden</w:t>
            </w:r>
          </w:p>
        </w:tc>
      </w:tr>
    </w:tbl>
    <w:p w:rsidR="003C62DF" w:rsidRDefault="003C62DF">
      <w:pPr>
        <w:spacing w:after="80"/>
      </w:pPr>
    </w:p>
    <w:p w:rsidR="003C62DF" w:rsidRDefault="00E56426">
      <w:pPr>
        <w:pStyle w:val="Heading2"/>
      </w:pPr>
      <w:r>
        <w:t>Launch checklist</w:t>
      </w:r>
    </w:p>
    <w:p w:rsidR="003C62DF" w:rsidRDefault="00E56426">
      <w:pPr>
        <w:pStyle w:val="ListParagraph"/>
        <w:numPr>
          <w:ilvl w:val="0"/>
          <w:numId w:val="2"/>
        </w:numPr>
        <w:spacing w:after="80" w:line="280" w:lineRule="auto"/>
      </w:pPr>
      <w:r>
        <w:rPr>
          <w:color w:val="1A1A1A"/>
        </w:rPr>
        <w:t>Confirm domain (www.propertyandrentconsult.com) and point DNS to Netlify</w:t>
      </w:r>
    </w:p>
    <w:p w:rsidR="003C62DF" w:rsidRDefault="00E56426">
      <w:pPr>
        <w:pStyle w:val="ListParagraph"/>
        <w:numPr>
          <w:ilvl w:val="0"/>
          <w:numId w:val="2"/>
        </w:numPr>
        <w:spacing w:after="80" w:line="280" w:lineRule="auto"/>
      </w:pPr>
      <w:r>
        <w:rPr>
          <w:color w:val="1A1A1A"/>
        </w:rPr>
        <w:t>Replace [price] placeholders and Selar URLs on product pages</w:t>
      </w:r>
    </w:p>
    <w:p w:rsidR="003C62DF" w:rsidRDefault="00E56426">
      <w:pPr>
        <w:pStyle w:val="ListParagraph"/>
        <w:numPr>
          <w:ilvl w:val="0"/>
          <w:numId w:val="2"/>
        </w:numPr>
        <w:spacing w:after="80" w:line="280" w:lineRule="auto"/>
      </w:pPr>
      <w:r>
        <w:rPr>
          <w:color w:val="1A1A1A"/>
        </w:rPr>
        <w:t>Review the Disclaimer and Services boundaries text against Civil Service code-of-conduct rules</w:t>
      </w:r>
    </w:p>
    <w:p w:rsidR="003C62DF" w:rsidRDefault="00E56426">
      <w:pPr>
        <w:pStyle w:val="ListParagraph"/>
        <w:numPr>
          <w:ilvl w:val="0"/>
          <w:numId w:val="2"/>
        </w:numPr>
        <w:spacing w:after="80" w:line="280" w:lineRule="auto"/>
      </w:pPr>
      <w:r>
        <w:rPr>
          <w:color w:val="1A1A1A"/>
        </w:rPr>
        <w:t>Load the 65-office Rent Control directory data into the resources page</w:t>
      </w:r>
    </w:p>
    <w:p w:rsidR="003C62DF" w:rsidRDefault="00E56426">
      <w:pPr>
        <w:pStyle w:val="ListParagraph"/>
        <w:numPr>
          <w:ilvl w:val="0"/>
          <w:numId w:val="2"/>
        </w:numPr>
        <w:spacing w:after="80" w:line="280" w:lineRule="auto"/>
      </w:pPr>
      <w:r>
        <w:rPr>
          <w:color w:val="1A1A1A"/>
        </w:rPr>
        <w:t>Connect the email-capture form to a list provider (e.g. MailerLite free tier)</w:t>
      </w:r>
    </w:p>
    <w:p w:rsidR="003C62DF" w:rsidRDefault="00E56426">
      <w:pPr>
        <w:pStyle w:val="ListParagraph"/>
        <w:numPr>
          <w:ilvl w:val="0"/>
          <w:numId w:val="2"/>
        </w:numPr>
        <w:spacing w:after="80" w:line="280" w:lineRule="auto"/>
      </w:pPr>
      <w:r>
        <w:rPr>
          <w:color w:val="1A1A1A"/>
        </w:rPr>
        <w:t>Publish Arti</w:t>
      </w:r>
      <w:r>
        <w:rPr>
          <w:color w:val="1A1A1A"/>
        </w:rPr>
        <w:t>cles 1 and 2; submit the sitemap to Google Search Console</w:t>
      </w:r>
    </w:p>
    <w:sectPr w:rsidR="003C62DF">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56426" w:rsidRDefault="00E56426">
      <w:r>
        <w:separator/>
      </w:r>
    </w:p>
  </w:endnote>
  <w:endnote w:type="continuationSeparator" w:id="0">
    <w:p w:rsidR="00E56426" w:rsidRDefault="00E564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62DF" w:rsidRDefault="00E56426">
    <w:pPr>
      <w:tabs>
        <w:tab w:val="right" w:pos="9026"/>
      </w:tabs>
    </w:pPr>
    <w:r>
      <w:rPr>
        <w:i/>
        <w:iCs/>
        <w:color w:val="63645A"/>
        <w:sz w:val="16"/>
        <w:szCs w:val="16"/>
      </w:rPr>
      <w:t>Trusted Guidance in Property &amp; Tenancy</w:t>
    </w:r>
    <w:r>
      <w:rPr>
        <w:color w:val="63645A"/>
        <w:sz w:val="16"/>
        <w:szCs w:val="16"/>
      </w:rPr>
      <w:tab/>
      <w:t xml:space="preserve">Page </w:t>
    </w:r>
    <w:r>
      <w:rPr>
        <w:color w:val="63645A"/>
        <w:sz w:val="16"/>
        <w:szCs w:val="16"/>
      </w:rPr>
      <w:fldChar w:fldCharType="begin"/>
    </w:r>
    <w:r>
      <w:rPr>
        <w:color w:val="63645A"/>
        <w:sz w:val="16"/>
        <w:szCs w:val="16"/>
      </w:rPr>
      <w:instrText>PAGE</w:instrText>
    </w:r>
    <w:r w:rsidR="00F31E83">
      <w:rPr>
        <w:color w:val="63645A"/>
        <w:sz w:val="16"/>
        <w:szCs w:val="16"/>
      </w:rPr>
      <w:fldChar w:fldCharType="separate"/>
    </w:r>
    <w:r w:rsidR="00F31E83">
      <w:rPr>
        <w:noProof/>
        <w:color w:val="63645A"/>
        <w:sz w:val="16"/>
        <w:szCs w:val="16"/>
      </w:rPr>
      <w:t>3</w:t>
    </w:r>
    <w:r>
      <w:rPr>
        <w:color w:val="63645A"/>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56426" w:rsidRDefault="00E56426">
      <w:r>
        <w:separator/>
      </w:r>
    </w:p>
  </w:footnote>
  <w:footnote w:type="continuationSeparator" w:id="0">
    <w:p w:rsidR="00E56426" w:rsidRDefault="00E5642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62DF" w:rsidRDefault="00E56426">
    <w:pPr>
      <w:pBdr>
        <w:bottom w:val="single" w:sz="4" w:space="2" w:color="516984"/>
      </w:pBdr>
      <w:tabs>
        <w:tab w:val="right" w:pos="9026"/>
      </w:tabs>
    </w:pPr>
    <w:r>
      <w:rPr>
        <w:b/>
        <w:bCs/>
        <w:color w:val="36221C"/>
        <w:sz w:val="16"/>
        <w:szCs w:val="16"/>
      </w:rPr>
      <w:t>PROPERTY AND RENT CONSULT</w:t>
    </w:r>
    <w:r>
      <w:rPr>
        <w:color w:val="63645A"/>
        <w:sz w:val="16"/>
        <w:szCs w:val="16"/>
      </w:rPr>
      <w:tab/>
      <w:t>Website Master Brief · PRC-WEB-BRF-2026-01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757953"/>
    <w:multiLevelType w:val="hybridMultilevel"/>
    <w:tmpl w:val="5972FE4C"/>
    <w:lvl w:ilvl="0" w:tplc="461C200A">
      <w:start w:val="1"/>
      <w:numFmt w:val="bullet"/>
      <w:lvlText w:val="●"/>
      <w:lvlJc w:val="left"/>
      <w:pPr>
        <w:ind w:left="720" w:hanging="360"/>
      </w:pPr>
    </w:lvl>
    <w:lvl w:ilvl="1" w:tplc="78E69060">
      <w:start w:val="1"/>
      <w:numFmt w:val="bullet"/>
      <w:lvlText w:val="○"/>
      <w:lvlJc w:val="left"/>
      <w:pPr>
        <w:ind w:left="1440" w:hanging="360"/>
      </w:pPr>
    </w:lvl>
    <w:lvl w:ilvl="2" w:tplc="2A58CC5C">
      <w:start w:val="1"/>
      <w:numFmt w:val="bullet"/>
      <w:lvlText w:val="■"/>
      <w:lvlJc w:val="left"/>
      <w:pPr>
        <w:ind w:left="2160" w:hanging="360"/>
      </w:pPr>
    </w:lvl>
    <w:lvl w:ilvl="3" w:tplc="A3347650">
      <w:start w:val="1"/>
      <w:numFmt w:val="bullet"/>
      <w:lvlText w:val="●"/>
      <w:lvlJc w:val="left"/>
      <w:pPr>
        <w:ind w:left="2880" w:hanging="360"/>
      </w:pPr>
    </w:lvl>
    <w:lvl w:ilvl="4" w:tplc="5BFA0222">
      <w:start w:val="1"/>
      <w:numFmt w:val="bullet"/>
      <w:lvlText w:val="○"/>
      <w:lvlJc w:val="left"/>
      <w:pPr>
        <w:ind w:left="3600" w:hanging="360"/>
      </w:pPr>
    </w:lvl>
    <w:lvl w:ilvl="5" w:tplc="44142308">
      <w:start w:val="1"/>
      <w:numFmt w:val="bullet"/>
      <w:lvlText w:val="■"/>
      <w:lvlJc w:val="left"/>
      <w:pPr>
        <w:ind w:left="4320" w:hanging="360"/>
      </w:pPr>
    </w:lvl>
    <w:lvl w:ilvl="6" w:tplc="2B164E22">
      <w:start w:val="1"/>
      <w:numFmt w:val="bullet"/>
      <w:lvlText w:val="●"/>
      <w:lvlJc w:val="left"/>
      <w:pPr>
        <w:ind w:left="5040" w:hanging="360"/>
      </w:pPr>
    </w:lvl>
    <w:lvl w:ilvl="7" w:tplc="E3CCA9A4">
      <w:start w:val="1"/>
      <w:numFmt w:val="bullet"/>
      <w:lvlText w:val="●"/>
      <w:lvlJc w:val="left"/>
      <w:pPr>
        <w:ind w:left="5760" w:hanging="360"/>
      </w:pPr>
    </w:lvl>
    <w:lvl w:ilvl="8" w:tplc="6AFCBBB2">
      <w:start w:val="1"/>
      <w:numFmt w:val="bullet"/>
      <w:lvlText w:val="●"/>
      <w:lvlJc w:val="left"/>
      <w:pPr>
        <w:ind w:left="6480" w:hanging="360"/>
      </w:pPr>
    </w:lvl>
  </w:abstractNum>
  <w:abstractNum w:abstractNumId="1">
    <w:nsid w:val="2AA24CF2"/>
    <w:multiLevelType w:val="hybridMultilevel"/>
    <w:tmpl w:val="477CC5BE"/>
    <w:lvl w:ilvl="0" w:tplc="8368AC96">
      <w:start w:val="1"/>
      <w:numFmt w:val="bullet"/>
      <w:lvlText w:val="•"/>
      <w:lvlJc w:val="left"/>
      <w:pPr>
        <w:ind w:left="720" w:hanging="360"/>
      </w:pPr>
    </w:lvl>
    <w:lvl w:ilvl="1" w:tplc="9A88FAA6">
      <w:start w:val="1"/>
      <w:numFmt w:val="bullet"/>
      <w:lvlText w:val="–"/>
      <w:lvlJc w:val="left"/>
      <w:pPr>
        <w:ind w:left="1200" w:hanging="360"/>
      </w:pPr>
    </w:lvl>
    <w:lvl w:ilvl="2" w:tplc="50DC6638">
      <w:numFmt w:val="decimal"/>
      <w:lvlText w:val=""/>
      <w:lvlJc w:val="left"/>
    </w:lvl>
    <w:lvl w:ilvl="3" w:tplc="C73E38E0">
      <w:numFmt w:val="decimal"/>
      <w:lvlText w:val=""/>
      <w:lvlJc w:val="left"/>
    </w:lvl>
    <w:lvl w:ilvl="4" w:tplc="51DA8102">
      <w:numFmt w:val="decimal"/>
      <w:lvlText w:val=""/>
      <w:lvlJc w:val="left"/>
    </w:lvl>
    <w:lvl w:ilvl="5" w:tplc="C9A2D246">
      <w:numFmt w:val="decimal"/>
      <w:lvlText w:val=""/>
      <w:lvlJc w:val="left"/>
    </w:lvl>
    <w:lvl w:ilvl="6" w:tplc="72A0E88A">
      <w:numFmt w:val="decimal"/>
      <w:lvlText w:val=""/>
      <w:lvlJc w:val="left"/>
    </w:lvl>
    <w:lvl w:ilvl="7" w:tplc="8CC4AFC4">
      <w:numFmt w:val="decimal"/>
      <w:lvlText w:val=""/>
      <w:lvlJc w:val="left"/>
    </w:lvl>
    <w:lvl w:ilvl="8" w:tplc="832EEA4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3C62DF"/>
    <w:rsid w:val="003C62DF"/>
    <w:rsid w:val="00E56426"/>
    <w:rsid w:val="00F31E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20" w:after="160"/>
      <w:outlineLvl w:val="0"/>
    </w:pPr>
    <w:rPr>
      <w:b/>
      <w:bCs/>
      <w:color w:val="36221C"/>
      <w:sz w:val="30"/>
      <w:szCs w:val="30"/>
    </w:rPr>
  </w:style>
  <w:style w:type="paragraph" w:styleId="Heading2">
    <w:name w:val="heading 2"/>
    <w:qFormat/>
    <w:pPr>
      <w:spacing w:before="240" w:after="120"/>
      <w:outlineLvl w:val="1"/>
    </w:pPr>
    <w:rPr>
      <w:b/>
      <w:bCs/>
      <w:color w:val="516984"/>
      <w:sz w:val="25"/>
      <w:szCs w:val="25"/>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20" w:after="160"/>
      <w:outlineLvl w:val="0"/>
    </w:pPr>
    <w:rPr>
      <w:b/>
      <w:bCs/>
      <w:color w:val="36221C"/>
      <w:sz w:val="30"/>
      <w:szCs w:val="30"/>
    </w:rPr>
  </w:style>
  <w:style w:type="paragraph" w:styleId="Heading2">
    <w:name w:val="heading 2"/>
    <w:qFormat/>
    <w:pPr>
      <w:spacing w:before="240" w:after="120"/>
      <w:outlineLvl w:val="1"/>
    </w:pPr>
    <w:rPr>
      <w:b/>
      <w:bCs/>
      <w:color w:val="516984"/>
      <w:sz w:val="25"/>
      <w:szCs w:val="25"/>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3352</Words>
  <Characters>19110</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2026-06-12T00:30:00Z</dcterms:created>
  <dcterms:modified xsi:type="dcterms:W3CDTF">2026-06-12T00:30:00Z</dcterms:modified>
</cp:coreProperties>
</file>