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60" w:type="dxa"/>
        <w:tblInd w:w="-10" w:type="dxa"/>
        <w:tblBorders>
          <w:top w:val="none" w:sz="0" w:space="0" w:color="FFFFFF"/>
          <w:left w:val="none" w:sz="0" w:space="0" w:color="FFFFFF"/>
          <w:bottom w:val="single" w:sz="6" w:space="0" w:color="516984"/>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8"/>
        <w:gridCol w:w="3952"/>
      </w:tblGrid>
      <w:tr w:rsidR="007E4EDA" w:rsidTr="00411EDD">
        <w:tblPrEx>
          <w:tblCellMar>
            <w:top w:w="0" w:type="dxa"/>
            <w:bottom w:w="0" w:type="dxa"/>
          </w:tblCellMar>
        </w:tblPrEx>
        <w:tc>
          <w:tcPr>
            <w:tcW w:w="5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tbl>
            <w:tblPr>
              <w:tblW w:w="5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tblGrid>
            <w:tr w:rsidR="007E4EDA" w:rsidTr="00411EDD">
              <w:tblPrEx>
                <w:tblCellMar>
                  <w:top w:w="0" w:type="dxa"/>
                  <w:bottom w:w="0" w:type="dxa"/>
                </w:tblCellMar>
              </w:tblPrEx>
              <w:tc>
                <w:tcPr>
                  <w:tcW w:w="2400" w:type="dxa"/>
                  <w:tcBorders>
                    <w:top w:val="single" w:sz="6" w:space="0" w:color="36221C"/>
                    <w:left w:val="single" w:sz="6" w:space="0" w:color="36221C"/>
                    <w:bottom w:val="single" w:sz="6" w:space="0" w:color="36221C"/>
                    <w:right w:val="none" w:sz="0" w:space="0" w:color="FFFFFF"/>
                  </w:tcBorders>
                  <w:shd w:val="clear" w:color="auto" w:fill="FFFFFF"/>
                  <w:tcMar>
                    <w:top w:w="60" w:type="dxa"/>
                    <w:left w:w="80" w:type="dxa"/>
                    <w:bottom w:w="60" w:type="dxa"/>
                    <w:right w:w="0" w:type="dxa"/>
                  </w:tcMar>
                </w:tcPr>
                <w:p w:rsidR="007E4EDA" w:rsidRDefault="007E4EDA" w:rsidP="00411EDD">
                  <w:pPr>
                    <w:jc w:val="center"/>
                  </w:pPr>
                  <w:r>
                    <w:rPr>
                      <w:rFonts w:ascii="Arial" w:eastAsia="Arial" w:hAnsi="Arial" w:cs="Arial"/>
                      <w:b/>
                      <w:bCs/>
                      <w:color w:val="36221C"/>
                      <w:sz w:val="18"/>
                      <w:szCs w:val="18"/>
                    </w:rPr>
                    <w:t>PROPERTY AND</w:t>
                  </w:r>
                </w:p>
              </w:tc>
              <w:tc>
                <w:tcPr>
                  <w:tcW w:w="3000" w:type="dxa"/>
                  <w:tcBorders>
                    <w:top w:val="none" w:sz="0" w:space="0" w:color="FFFFFF"/>
                    <w:left w:val="none" w:sz="0" w:space="0" w:color="FFFFFF"/>
                    <w:bottom w:val="none" w:sz="0" w:space="0" w:color="FFFFFF"/>
                    <w:right w:val="none" w:sz="0" w:space="0" w:color="FFFFFF"/>
                  </w:tcBorders>
                  <w:shd w:val="clear" w:color="auto" w:fill="516984"/>
                  <w:tcMar>
                    <w:top w:w="60" w:type="dxa"/>
                    <w:left w:w="120" w:type="dxa"/>
                    <w:bottom w:w="60" w:type="dxa"/>
                    <w:right w:w="80" w:type="dxa"/>
                  </w:tcMar>
                </w:tcPr>
                <w:p w:rsidR="007E4EDA" w:rsidRDefault="007E4EDA" w:rsidP="00411EDD">
                  <w:pPr>
                    <w:jc w:val="center"/>
                  </w:pPr>
                  <w:r>
                    <w:rPr>
                      <w:rFonts w:ascii="Arial" w:eastAsia="Arial" w:hAnsi="Arial" w:cs="Arial"/>
                      <w:b/>
                      <w:bCs/>
                      <w:color w:val="FFFFFF"/>
                      <w:sz w:val="18"/>
                      <w:szCs w:val="18"/>
                    </w:rPr>
                    <w:t>RENT CONSULT</w:t>
                  </w:r>
                </w:p>
              </w:tc>
            </w:tr>
          </w:tbl>
          <w:p w:rsidR="007E4EDA" w:rsidRDefault="007E4EDA" w:rsidP="00411EDD">
            <w:pPr>
              <w:spacing w:before="40"/>
            </w:pPr>
            <w:r>
              <w:rPr>
                <w:rFonts w:ascii="Arial" w:eastAsia="Arial" w:hAnsi="Arial" w:cs="Arial"/>
                <w:color w:val="63645A"/>
                <w:sz w:val="16"/>
                <w:szCs w:val="16"/>
              </w:rPr>
              <w:t>TRUSTED GUIDANCE IN PROPERTY &amp; TENANCY</w:t>
            </w:r>
          </w:p>
        </w:tc>
        <w:tc>
          <w:tcPr>
            <w:tcW w:w="39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rsidR="007E4EDA" w:rsidRDefault="007E4EDA" w:rsidP="00411EDD">
            <w:pPr>
              <w:jc w:val="right"/>
            </w:pPr>
            <w:r>
              <w:rPr>
                <w:rFonts w:ascii="Arial" w:eastAsia="Arial" w:hAnsi="Arial" w:cs="Arial"/>
                <w:color w:val="516984"/>
                <w:sz w:val="18"/>
                <w:szCs w:val="18"/>
              </w:rPr>
              <w:t>www.propertyandrentconsult.com</w:t>
            </w:r>
          </w:p>
          <w:p w:rsidR="007E4EDA" w:rsidRDefault="007E4EDA" w:rsidP="00411EDD">
            <w:pPr>
              <w:jc w:val="right"/>
            </w:pPr>
            <w:r>
              <w:rPr>
                <w:rFonts w:ascii="Arial" w:eastAsia="Arial" w:hAnsi="Arial" w:cs="Arial"/>
                <w:color w:val="4C4848"/>
                <w:sz w:val="18"/>
                <w:szCs w:val="18"/>
              </w:rPr>
              <w:t>info@propertyandrentconsult.com</w:t>
            </w:r>
          </w:p>
          <w:p w:rsidR="007E4EDA" w:rsidRDefault="007E4EDA" w:rsidP="00411EDD">
            <w:pPr>
              <w:jc w:val="right"/>
            </w:pPr>
            <w:r>
              <w:rPr>
                <w:rFonts w:ascii="Arial" w:eastAsia="Arial" w:hAnsi="Arial" w:cs="Arial"/>
                <w:color w:val="4C4848"/>
                <w:sz w:val="18"/>
                <w:szCs w:val="18"/>
              </w:rPr>
              <w:t>Accra, Ghana</w:t>
            </w:r>
          </w:p>
        </w:tc>
      </w:tr>
    </w:tbl>
    <w:p w:rsidR="009567C9" w:rsidRDefault="009567C9">
      <w:pPr>
        <w:spacing w:before="240"/>
      </w:pPr>
    </w:p>
    <w:p w:rsidR="009567C9" w:rsidRDefault="006F455E">
      <w:pPr>
        <w:shd w:val="clear" w:color="auto" w:fill="36221C"/>
      </w:pPr>
      <w:r>
        <w:rPr>
          <w:rFonts w:ascii="Arial" w:eastAsia="Arial" w:hAnsi="Arial" w:cs="Arial"/>
          <w:b/>
          <w:bCs/>
          <w:color w:val="FFFFFF"/>
          <w:sz w:val="36"/>
          <w:szCs w:val="36"/>
        </w:rPr>
        <w:t xml:space="preserve">  COMPANY OVERVIEW</w:t>
      </w:r>
    </w:p>
    <w:p w:rsidR="009567C9" w:rsidRDefault="006F455E">
      <w:pPr>
        <w:shd w:val="clear" w:color="auto" w:fill="516984"/>
        <w:rPr>
          <w:rFonts w:ascii="Arial" w:eastAsia="Arial" w:hAnsi="Arial" w:cs="Arial"/>
          <w:b/>
          <w:bCs/>
          <w:color w:val="FFFFFF"/>
        </w:rPr>
      </w:pPr>
      <w:r>
        <w:rPr>
          <w:rFonts w:ascii="Arial" w:eastAsia="Arial" w:hAnsi="Arial" w:cs="Arial"/>
          <w:b/>
          <w:bCs/>
          <w:color w:val="FFFFFF"/>
          <w:sz w:val="22"/>
          <w:szCs w:val="22"/>
        </w:rPr>
        <w:t xml:space="preserve">  Digital Property &amp; Tenancy Solutions for the Modern Market</w:t>
      </w:r>
      <w:r w:rsidR="007E4EDA" w:rsidRPr="007E4EDA">
        <w:rPr>
          <w:rFonts w:ascii="Arial" w:eastAsia="Arial" w:hAnsi="Arial" w:cs="Arial"/>
          <w:b/>
          <w:bCs/>
          <w:color w:val="FFFFFF"/>
        </w:rPr>
        <w:t xml:space="preserve"> </w:t>
      </w:r>
      <w:r w:rsidR="00F22B60">
        <w:rPr>
          <w:rFonts w:ascii="Arial" w:eastAsia="Arial" w:hAnsi="Arial" w:cs="Arial"/>
          <w:b/>
          <w:bCs/>
          <w:color w:val="FFFFFF"/>
        </w:rPr>
        <w:t xml:space="preserve">Accra, </w:t>
      </w:r>
      <w:proofErr w:type="gramStart"/>
      <w:r w:rsidR="00F22B60">
        <w:rPr>
          <w:rFonts w:ascii="Arial" w:eastAsia="Arial" w:hAnsi="Arial" w:cs="Arial"/>
          <w:b/>
          <w:bCs/>
          <w:color w:val="FFFFFF"/>
        </w:rPr>
        <w:t>Ghana  |</w:t>
      </w:r>
      <w:proofErr w:type="gramEnd"/>
      <w:r w:rsidR="00F22B60">
        <w:rPr>
          <w:rFonts w:ascii="Arial" w:eastAsia="Arial" w:hAnsi="Arial" w:cs="Arial"/>
          <w:b/>
          <w:bCs/>
          <w:color w:val="FFFFFF"/>
        </w:rPr>
        <w:t xml:space="preserve">  2026</w:t>
      </w:r>
      <w:bookmarkStart w:id="0" w:name="_GoBack"/>
      <w:bookmarkEnd w:id="0"/>
    </w:p>
    <w:p w:rsidR="00F22B60" w:rsidRDefault="00F22B60">
      <w:pPr>
        <w:spacing w:before="60" w:after="60"/>
        <w:jc w:val="both"/>
        <w:rPr>
          <w:rFonts w:ascii="Arial" w:eastAsia="Arial" w:hAnsi="Arial" w:cs="Arial"/>
          <w:color w:val="4C4848"/>
          <w:sz w:val="22"/>
          <w:szCs w:val="22"/>
        </w:rPr>
      </w:pPr>
    </w:p>
    <w:p w:rsidR="00F22B60" w:rsidRDefault="00F22B60" w:rsidP="00F22B60">
      <w:pPr>
        <w:shd w:val="clear" w:color="auto" w:fill="516984"/>
        <w:tabs>
          <w:tab w:val="left" w:pos="0"/>
        </w:tabs>
        <w:spacing w:before="320" w:after="160"/>
      </w:pPr>
      <w:r>
        <w:rPr>
          <w:rFonts w:ascii="Arial" w:eastAsia="Arial" w:hAnsi="Arial" w:cs="Arial"/>
          <w:b/>
          <w:bCs/>
          <w:color w:val="FFFFFF"/>
          <w:sz w:val="26"/>
          <w:szCs w:val="26"/>
        </w:rPr>
        <w:t>01.  WHO WE ARE</w:t>
      </w:r>
    </w:p>
    <w:p w:rsidR="009567C9" w:rsidRDefault="006F455E">
      <w:pPr>
        <w:spacing w:before="60" w:after="60"/>
        <w:jc w:val="both"/>
      </w:pPr>
      <w:r>
        <w:rPr>
          <w:rFonts w:ascii="Arial" w:eastAsia="Arial" w:hAnsi="Arial" w:cs="Arial"/>
          <w:color w:val="4C4848"/>
          <w:sz w:val="22"/>
          <w:szCs w:val="22"/>
        </w:rPr>
        <w:t xml:space="preserve">Property and Rent Consult is a digital-first property and tenancy services company headquartered in Accra, Ghana. We are built on the conviction that every landlord, tenant, property investor, and housing institution in </w:t>
      </w:r>
      <w:r w:rsidR="007E4EDA">
        <w:rPr>
          <w:rFonts w:ascii="Arial" w:eastAsia="Arial" w:hAnsi="Arial" w:cs="Arial"/>
          <w:color w:val="4C4848"/>
          <w:sz w:val="22"/>
          <w:szCs w:val="22"/>
        </w:rPr>
        <w:t>Ghana</w:t>
      </w:r>
      <w:r>
        <w:rPr>
          <w:rFonts w:ascii="Arial" w:eastAsia="Arial" w:hAnsi="Arial" w:cs="Arial"/>
          <w:color w:val="4C4848"/>
          <w:sz w:val="22"/>
          <w:szCs w:val="22"/>
        </w:rPr>
        <w:t xml:space="preserve"> deserves access to profession</w:t>
      </w:r>
      <w:r>
        <w:rPr>
          <w:rFonts w:ascii="Arial" w:eastAsia="Arial" w:hAnsi="Arial" w:cs="Arial"/>
          <w:color w:val="4C4848"/>
          <w:sz w:val="22"/>
          <w:szCs w:val="22"/>
        </w:rPr>
        <w:t>al, transparent, and technology-driven property solutions — without the friction, opacity, and informality that have historically defined the market.</w:t>
      </w:r>
    </w:p>
    <w:p w:rsidR="009567C9" w:rsidRDefault="009567C9">
      <w:pPr>
        <w:spacing w:after="80"/>
      </w:pPr>
    </w:p>
    <w:p w:rsidR="009567C9" w:rsidRDefault="006F455E">
      <w:pPr>
        <w:spacing w:before="60" w:after="60"/>
        <w:jc w:val="both"/>
      </w:pPr>
      <w:r>
        <w:rPr>
          <w:rFonts w:ascii="Arial" w:eastAsia="Arial" w:hAnsi="Arial" w:cs="Arial"/>
          <w:color w:val="4C4848"/>
          <w:sz w:val="22"/>
          <w:szCs w:val="22"/>
        </w:rPr>
        <w:t>We develop, package, and distribute digital products that address the full lifecycle of property ownershi</w:t>
      </w:r>
      <w:r>
        <w:rPr>
          <w:rFonts w:ascii="Arial" w:eastAsia="Arial" w:hAnsi="Arial" w:cs="Arial"/>
          <w:color w:val="4C4848"/>
          <w:sz w:val="22"/>
          <w:szCs w:val="22"/>
        </w:rPr>
        <w:t>p and tenancy: from rent and property advisory tools to documentation services, compliance systems, compliance templates, and consumer education products. Our platform bridges the gap between Ghana's growing urban housing demand and the professional infras</w:t>
      </w:r>
      <w:r>
        <w:rPr>
          <w:rFonts w:ascii="Arial" w:eastAsia="Arial" w:hAnsi="Arial" w:cs="Arial"/>
          <w:color w:val="4C4848"/>
          <w:sz w:val="22"/>
          <w:szCs w:val="22"/>
        </w:rPr>
        <w:t>tructure needed to serve it.</w:t>
      </w:r>
    </w:p>
    <w:p w:rsidR="009567C9" w:rsidRDefault="009567C9">
      <w:pPr>
        <w:spacing w:before="160"/>
      </w:pPr>
    </w:p>
    <w:tbl>
      <w:tblPr>
        <w:tblW w:w="9730" w:type="dxa"/>
        <w:tblInd w:w="19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5170"/>
      </w:tblGrid>
      <w:tr w:rsidR="009567C9" w:rsidTr="007E4EDA">
        <w:tblPrEx>
          <w:tblCellMar>
            <w:top w:w="0" w:type="dxa"/>
            <w:bottom w:w="0" w:type="dxa"/>
          </w:tblCellMar>
        </w:tblPrEx>
        <w:tc>
          <w:tcPr>
            <w:tcW w:w="4560" w:type="dxa"/>
            <w:tcBorders>
              <w:top w:val="none" w:sz="0" w:space="0" w:color="FFFFFF"/>
              <w:left w:val="none" w:sz="0" w:space="0" w:color="FFFFFF"/>
              <w:bottom w:val="none" w:sz="0" w:space="0" w:color="FFFFFF"/>
              <w:right w:val="single" w:sz="4" w:space="0" w:color="2A1A15"/>
            </w:tcBorders>
            <w:shd w:val="clear" w:color="auto" w:fill="36221C"/>
            <w:tcMar>
              <w:top w:w="160" w:type="dxa"/>
              <w:left w:w="200" w:type="dxa"/>
              <w:bottom w:w="160" w:type="dxa"/>
              <w:right w:w="200" w:type="dxa"/>
            </w:tcMar>
          </w:tcPr>
          <w:p w:rsidR="009567C9" w:rsidRDefault="006F455E">
            <w:r>
              <w:rPr>
                <w:rFonts w:ascii="Arial" w:eastAsia="Arial" w:hAnsi="Arial" w:cs="Arial"/>
                <w:b/>
                <w:bCs/>
                <w:color w:val="FFFFFF"/>
              </w:rPr>
              <w:t>OUR MISSION</w:t>
            </w:r>
          </w:p>
          <w:p w:rsidR="009567C9" w:rsidRDefault="009567C9">
            <w:pPr>
              <w:spacing w:before="60"/>
            </w:pPr>
          </w:p>
          <w:p w:rsidR="009567C9" w:rsidRDefault="006F455E">
            <w:pPr>
              <w:jc w:val="both"/>
            </w:pPr>
            <w:r>
              <w:rPr>
                <w:rFonts w:ascii="Arial" w:eastAsia="Arial" w:hAnsi="Arial" w:cs="Arial"/>
                <w:color w:val="D0C8C0"/>
              </w:rPr>
              <w:t>To democratise access to professional property and tenancy services across Ghana and Africa through innovative, affordable, and accessible digital products.</w:t>
            </w:r>
          </w:p>
        </w:tc>
        <w:tc>
          <w:tcPr>
            <w:tcW w:w="5170" w:type="dxa"/>
            <w:tcBorders>
              <w:top w:val="none" w:sz="0" w:space="0" w:color="FFFFFF"/>
              <w:left w:val="none" w:sz="0" w:space="0" w:color="FFFFFF"/>
              <w:bottom w:val="none" w:sz="0" w:space="0" w:color="FFFFFF"/>
              <w:right w:val="none" w:sz="0" w:space="0" w:color="FFFFFF"/>
            </w:tcBorders>
            <w:shd w:val="clear" w:color="auto" w:fill="516984"/>
            <w:tcMar>
              <w:top w:w="160" w:type="dxa"/>
              <w:left w:w="200" w:type="dxa"/>
              <w:bottom w:w="160" w:type="dxa"/>
              <w:right w:w="200" w:type="dxa"/>
            </w:tcMar>
          </w:tcPr>
          <w:p w:rsidR="009567C9" w:rsidRDefault="006F455E">
            <w:r>
              <w:rPr>
                <w:rFonts w:ascii="Arial" w:eastAsia="Arial" w:hAnsi="Arial" w:cs="Arial"/>
                <w:b/>
                <w:bCs/>
                <w:color w:val="FFFFFF"/>
              </w:rPr>
              <w:t>OUR VISION</w:t>
            </w:r>
          </w:p>
          <w:p w:rsidR="009567C9" w:rsidRDefault="009567C9">
            <w:pPr>
              <w:spacing w:before="60"/>
            </w:pPr>
          </w:p>
          <w:p w:rsidR="009567C9" w:rsidRDefault="006F455E">
            <w:pPr>
              <w:jc w:val="both"/>
            </w:pPr>
            <w:r>
              <w:rPr>
                <w:rFonts w:ascii="Arial" w:eastAsia="Arial" w:hAnsi="Arial" w:cs="Arial"/>
                <w:color w:val="D0DDE8"/>
              </w:rPr>
              <w:t>To become the leading digital marketplace fo</w:t>
            </w:r>
            <w:r>
              <w:rPr>
                <w:rFonts w:ascii="Arial" w:eastAsia="Arial" w:hAnsi="Arial" w:cs="Arial"/>
                <w:color w:val="D0DDE8"/>
              </w:rPr>
              <w:t>r property and tenancy solutions in Sub-Saharan Africa — recognised for integrity, professionalism, and transformative client impact.</w:t>
            </w:r>
          </w:p>
        </w:tc>
      </w:tr>
    </w:tbl>
    <w:p w:rsidR="009567C9" w:rsidRDefault="006F455E" w:rsidP="007E4EDA">
      <w:pPr>
        <w:shd w:val="clear" w:color="auto" w:fill="516984"/>
        <w:spacing w:before="320" w:after="160"/>
      </w:pPr>
      <w:r>
        <w:rPr>
          <w:rFonts w:ascii="Arial" w:eastAsia="Arial" w:hAnsi="Arial" w:cs="Arial"/>
          <w:b/>
          <w:bCs/>
          <w:color w:val="FFFFFF"/>
          <w:sz w:val="26"/>
          <w:szCs w:val="26"/>
        </w:rPr>
        <w:t>02.  THE PROBLEM WE SOLVE</w:t>
      </w:r>
    </w:p>
    <w:p w:rsidR="009567C9" w:rsidRDefault="006F455E">
      <w:pPr>
        <w:spacing w:before="60" w:after="60"/>
        <w:jc w:val="both"/>
      </w:pPr>
      <w:r>
        <w:rPr>
          <w:rFonts w:ascii="Arial" w:eastAsia="Arial" w:hAnsi="Arial" w:cs="Arial"/>
          <w:color w:val="4C4848"/>
          <w:sz w:val="22"/>
          <w:szCs w:val="22"/>
        </w:rPr>
        <w:t>Ghana'</w:t>
      </w:r>
      <w:r>
        <w:rPr>
          <w:rFonts w:ascii="Arial" w:eastAsia="Arial" w:hAnsi="Arial" w:cs="Arial"/>
          <w:color w:val="4C4848"/>
          <w:sz w:val="22"/>
          <w:szCs w:val="22"/>
        </w:rPr>
        <w:t>s rental and property market is characterised by chronic structural deficiencies that disadvantage all parties — landlords, tenants, investors, and regulators alike:</w:t>
      </w:r>
    </w:p>
    <w:p w:rsidR="009567C9" w:rsidRDefault="009567C9">
      <w:pPr>
        <w:spacing w:before="60"/>
      </w:pPr>
    </w:p>
    <w:p w:rsidR="009567C9" w:rsidRDefault="006F455E" w:rsidP="007E4EDA">
      <w:pPr>
        <w:pStyle w:val="ListParagraph"/>
        <w:numPr>
          <w:ilvl w:val="0"/>
          <w:numId w:val="2"/>
        </w:numPr>
        <w:spacing w:before="40" w:after="40"/>
        <w:ind w:left="360"/>
      </w:pPr>
      <w:r>
        <w:rPr>
          <w:rFonts w:ascii="Arial" w:eastAsia="Arial" w:hAnsi="Arial" w:cs="Arial"/>
          <w:color w:val="4C4848"/>
          <w:sz w:val="22"/>
          <w:szCs w:val="22"/>
        </w:rPr>
        <w:t>Absence of standardised, legally compliant tenancy documentation</w:t>
      </w:r>
    </w:p>
    <w:p w:rsidR="009567C9" w:rsidRDefault="006F455E" w:rsidP="007E4EDA">
      <w:pPr>
        <w:pStyle w:val="ListParagraph"/>
        <w:numPr>
          <w:ilvl w:val="0"/>
          <w:numId w:val="2"/>
        </w:numPr>
        <w:spacing w:before="40" w:after="40"/>
        <w:ind w:left="360"/>
      </w:pPr>
      <w:r>
        <w:rPr>
          <w:rFonts w:ascii="Arial" w:eastAsia="Arial" w:hAnsi="Arial" w:cs="Arial"/>
          <w:color w:val="4C4848"/>
          <w:sz w:val="22"/>
          <w:szCs w:val="22"/>
        </w:rPr>
        <w:t>Widespread reliance on i</w:t>
      </w:r>
      <w:r>
        <w:rPr>
          <w:rFonts w:ascii="Arial" w:eastAsia="Arial" w:hAnsi="Arial" w:cs="Arial"/>
          <w:color w:val="4C4848"/>
          <w:sz w:val="22"/>
          <w:szCs w:val="22"/>
        </w:rPr>
        <w:t>nformal cash-in-hand rental arrangements</w:t>
      </w:r>
    </w:p>
    <w:p w:rsidR="009567C9" w:rsidRDefault="006F455E" w:rsidP="007E4EDA">
      <w:pPr>
        <w:pStyle w:val="ListParagraph"/>
        <w:numPr>
          <w:ilvl w:val="0"/>
          <w:numId w:val="2"/>
        </w:numPr>
        <w:spacing w:before="40" w:after="40"/>
        <w:ind w:left="360"/>
      </w:pPr>
      <w:r>
        <w:rPr>
          <w:rFonts w:ascii="Arial" w:eastAsia="Arial" w:hAnsi="Arial" w:cs="Arial"/>
          <w:color w:val="4C4848"/>
          <w:sz w:val="22"/>
          <w:szCs w:val="22"/>
        </w:rPr>
        <w:t>Lack of accessible tools for rent calculation, advance rent management, and tenancy tracking</w:t>
      </w:r>
    </w:p>
    <w:p w:rsidR="009567C9" w:rsidRDefault="006F455E" w:rsidP="007E4EDA">
      <w:pPr>
        <w:pStyle w:val="ListParagraph"/>
        <w:numPr>
          <w:ilvl w:val="0"/>
          <w:numId w:val="2"/>
        </w:numPr>
        <w:spacing w:before="40" w:after="40"/>
        <w:ind w:left="360"/>
      </w:pPr>
      <w:r>
        <w:rPr>
          <w:rFonts w:ascii="Arial" w:eastAsia="Arial" w:hAnsi="Arial" w:cs="Arial"/>
          <w:color w:val="4C4848"/>
          <w:sz w:val="22"/>
          <w:szCs w:val="22"/>
        </w:rPr>
        <w:t>Limited consumer awareness of rights and obligations under the Rent Act (Act 220) and Rent Regulations (L.I. 369)</w:t>
      </w:r>
    </w:p>
    <w:p w:rsidR="009567C9" w:rsidRDefault="006F455E" w:rsidP="007E4EDA">
      <w:pPr>
        <w:pStyle w:val="ListParagraph"/>
        <w:numPr>
          <w:ilvl w:val="0"/>
          <w:numId w:val="2"/>
        </w:numPr>
        <w:spacing w:before="40" w:after="40"/>
        <w:ind w:left="360"/>
      </w:pPr>
      <w:r>
        <w:rPr>
          <w:rFonts w:ascii="Arial" w:eastAsia="Arial" w:hAnsi="Arial" w:cs="Arial"/>
          <w:color w:val="4C4848"/>
          <w:sz w:val="22"/>
          <w:szCs w:val="22"/>
        </w:rPr>
        <w:t>Fragmented, inaccessible professional property advisory services</w:t>
      </w:r>
    </w:p>
    <w:p w:rsidR="009567C9" w:rsidRDefault="006F455E" w:rsidP="007E4EDA">
      <w:pPr>
        <w:pStyle w:val="ListParagraph"/>
        <w:numPr>
          <w:ilvl w:val="0"/>
          <w:numId w:val="2"/>
        </w:numPr>
        <w:spacing w:before="40" w:after="40"/>
        <w:ind w:left="360"/>
      </w:pPr>
      <w:r>
        <w:rPr>
          <w:rFonts w:ascii="Arial" w:eastAsia="Arial" w:hAnsi="Arial" w:cs="Arial"/>
          <w:color w:val="4C4848"/>
          <w:sz w:val="22"/>
          <w:szCs w:val="22"/>
        </w:rPr>
        <w:t>No centralised digital platform for property compliance, dispute documentation, or landlord-tenant records</w:t>
      </w:r>
    </w:p>
    <w:p w:rsidR="009567C9" w:rsidRDefault="009567C9">
      <w:pPr>
        <w:spacing w:before="80"/>
      </w:pPr>
    </w:p>
    <w:p w:rsidR="009567C9" w:rsidRDefault="006F455E" w:rsidP="007E4EDA">
      <w:pPr>
        <w:spacing w:before="60" w:after="60"/>
        <w:jc w:val="both"/>
      </w:pPr>
      <w:r>
        <w:rPr>
          <w:rFonts w:ascii="Arial" w:eastAsia="Arial" w:hAnsi="Arial" w:cs="Arial"/>
          <w:color w:val="4C4848"/>
          <w:sz w:val="22"/>
          <w:szCs w:val="22"/>
        </w:rPr>
        <w:t>Property and Rent Consult exists to solve these problems — through products that ar</w:t>
      </w:r>
      <w:r>
        <w:rPr>
          <w:rFonts w:ascii="Arial" w:eastAsia="Arial" w:hAnsi="Arial" w:cs="Arial"/>
          <w:color w:val="4C4848"/>
          <w:sz w:val="22"/>
          <w:szCs w:val="22"/>
        </w:rPr>
        <w:t>e digital, scalable, affordable, and grounded in Ghana's legal and regulatory framework.</w:t>
      </w:r>
    </w:p>
    <w:p w:rsidR="009567C9" w:rsidRDefault="006F455E" w:rsidP="007E4EDA">
      <w:pPr>
        <w:shd w:val="clear" w:color="auto" w:fill="516984"/>
        <w:spacing w:before="320" w:after="160"/>
      </w:pPr>
      <w:r>
        <w:rPr>
          <w:rFonts w:ascii="Arial" w:eastAsia="Arial" w:hAnsi="Arial" w:cs="Arial"/>
          <w:b/>
          <w:bCs/>
          <w:color w:val="FFFFFF"/>
          <w:sz w:val="26"/>
          <w:szCs w:val="26"/>
        </w:rPr>
        <w:t>03.  OUR DIGITAL PRODUCT SUITE</w:t>
      </w:r>
    </w:p>
    <w:p w:rsidR="009567C9" w:rsidRDefault="006F455E">
      <w:pPr>
        <w:pBdr>
          <w:bottom w:val="single" w:sz="4" w:space="1" w:color="63645A"/>
        </w:pBdr>
        <w:spacing w:before="200" w:after="80"/>
      </w:pPr>
      <w:r>
        <w:rPr>
          <w:rFonts w:ascii="Arial" w:eastAsia="Arial" w:hAnsi="Arial" w:cs="Arial"/>
          <w:b/>
          <w:bCs/>
          <w:color w:val="516984"/>
          <w:sz w:val="24"/>
          <w:szCs w:val="24"/>
        </w:rPr>
        <w:t>Rent &amp; Tenancy Products</w:t>
      </w:r>
    </w:p>
    <w:tbl>
      <w:tblPr>
        <w:tblW w:w="9820" w:type="dxa"/>
        <w:tblInd w:w="17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5260"/>
      </w:tblGrid>
      <w:tr w:rsidR="009567C9" w:rsidTr="007E4EDA">
        <w:tblPrEx>
          <w:tblCellMar>
            <w:top w:w="0" w:type="dxa"/>
            <w:bottom w:w="0" w:type="dxa"/>
          </w:tblCellMar>
        </w:tblPrEx>
        <w:tc>
          <w:tcPr>
            <w:tcW w:w="4560" w:type="dxa"/>
            <w:tcBorders>
              <w:top w:val="single" w:sz="8" w:space="0" w:color="516984"/>
              <w:left w:val="none" w:sz="0" w:space="0" w:color="FFFFFF"/>
              <w:bottom w:val="none" w:sz="0" w:space="0" w:color="FFFFFF"/>
              <w:right w:val="none" w:sz="0" w:space="0" w:color="FFFFFF"/>
            </w:tcBorders>
            <w:shd w:val="clear" w:color="auto" w:fill="F5F2EF"/>
            <w:tcMar>
              <w:top w:w="140" w:type="dxa"/>
              <w:left w:w="180" w:type="dxa"/>
              <w:bottom w:w="140" w:type="dxa"/>
              <w:right w:w="180" w:type="dxa"/>
            </w:tcMar>
          </w:tcPr>
          <w:p w:rsidR="009567C9" w:rsidRDefault="006F455E">
            <w:r>
              <w:rPr>
                <w:rFonts w:ascii="Arial" w:eastAsia="Arial" w:hAnsi="Arial" w:cs="Arial"/>
                <w:b/>
                <w:bCs/>
                <w:color w:val="516984"/>
                <w:sz w:val="22"/>
                <w:szCs w:val="22"/>
              </w:rPr>
              <w:lastRenderedPageBreak/>
              <w:t>Rent Calculator Pro</w:t>
            </w:r>
          </w:p>
          <w:p w:rsidR="009567C9" w:rsidRDefault="006F455E">
            <w:pPr>
              <w:spacing w:before="60"/>
              <w:jc w:val="both"/>
            </w:pPr>
            <w:r>
              <w:rPr>
                <w:rFonts w:ascii="Arial" w:eastAsia="Arial" w:hAnsi="Arial" w:cs="Arial"/>
                <w:color w:val="4C4848"/>
              </w:rPr>
              <w:t>An interactive digital tool that computes advance rent, monthly equivalents, tenancy expiry dates, and prorated amounts — fully calibrated for Ghana's advance rent payment norms and the anniversary-cycle tenancy model.</w:t>
            </w:r>
          </w:p>
        </w:tc>
        <w:tc>
          <w:tcPr>
            <w:tcW w:w="5260" w:type="dxa"/>
            <w:tcBorders>
              <w:top w:val="single" w:sz="8" w:space="0" w:color="63645A"/>
              <w:left w:val="single" w:sz="4" w:space="0" w:color="D9D5D0"/>
              <w:bottom w:val="none" w:sz="0" w:space="0" w:color="FFFFFF"/>
              <w:right w:val="none" w:sz="0" w:space="0" w:color="FFFFFF"/>
            </w:tcBorders>
            <w:shd w:val="clear" w:color="auto" w:fill="F5F2EF"/>
            <w:tcMar>
              <w:top w:w="140" w:type="dxa"/>
              <w:left w:w="180" w:type="dxa"/>
              <w:bottom w:w="140" w:type="dxa"/>
              <w:right w:w="180" w:type="dxa"/>
            </w:tcMar>
          </w:tcPr>
          <w:p w:rsidR="009567C9" w:rsidRDefault="006F455E">
            <w:r>
              <w:rPr>
                <w:rFonts w:ascii="Arial" w:eastAsia="Arial" w:hAnsi="Arial" w:cs="Arial"/>
                <w:b/>
                <w:bCs/>
                <w:color w:val="63645A"/>
                <w:sz w:val="22"/>
                <w:szCs w:val="22"/>
              </w:rPr>
              <w:t>Tenancy Agreement Generator</w:t>
            </w:r>
          </w:p>
          <w:p w:rsidR="009567C9" w:rsidRDefault="006F455E">
            <w:pPr>
              <w:spacing w:before="60"/>
              <w:jc w:val="both"/>
            </w:pPr>
            <w:r>
              <w:rPr>
                <w:rFonts w:ascii="Arial" w:eastAsia="Arial" w:hAnsi="Arial" w:cs="Arial"/>
                <w:color w:val="4C4848"/>
              </w:rPr>
              <w:t>An automa</w:t>
            </w:r>
            <w:r>
              <w:rPr>
                <w:rFonts w:ascii="Arial" w:eastAsia="Arial" w:hAnsi="Arial" w:cs="Arial"/>
                <w:color w:val="4C4848"/>
              </w:rPr>
              <w:t>ted document generator that produces legally compliant, customisable tenancy agreements anchored in the Rent Act (Act 220) and Rent Regulations (L.I. 369), exportable as PDF or DOCX.</w:t>
            </w:r>
          </w:p>
        </w:tc>
      </w:tr>
    </w:tbl>
    <w:p w:rsidR="009567C9" w:rsidRDefault="009567C9">
      <w:pPr>
        <w:spacing w:before="120"/>
      </w:pPr>
    </w:p>
    <w:tbl>
      <w:tblPr>
        <w:tblW w:w="9820" w:type="dxa"/>
        <w:tblInd w:w="17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5260"/>
      </w:tblGrid>
      <w:tr w:rsidR="009567C9" w:rsidTr="007E4EDA">
        <w:tblPrEx>
          <w:tblCellMar>
            <w:top w:w="0" w:type="dxa"/>
            <w:bottom w:w="0" w:type="dxa"/>
          </w:tblCellMar>
        </w:tblPrEx>
        <w:tc>
          <w:tcPr>
            <w:tcW w:w="4560" w:type="dxa"/>
            <w:tcBorders>
              <w:top w:val="single" w:sz="8" w:space="0" w:color="516984"/>
              <w:left w:val="none" w:sz="0" w:space="0" w:color="FFFFFF"/>
              <w:bottom w:val="none" w:sz="0" w:space="0" w:color="FFFFFF"/>
              <w:right w:val="none" w:sz="0" w:space="0" w:color="FFFFFF"/>
            </w:tcBorders>
            <w:shd w:val="clear" w:color="auto" w:fill="F5F2EF"/>
            <w:tcMar>
              <w:top w:w="140" w:type="dxa"/>
              <w:left w:w="180" w:type="dxa"/>
              <w:bottom w:w="140" w:type="dxa"/>
              <w:right w:w="180" w:type="dxa"/>
            </w:tcMar>
          </w:tcPr>
          <w:p w:rsidR="009567C9" w:rsidRDefault="006F455E">
            <w:r>
              <w:rPr>
                <w:rFonts w:ascii="Arial" w:eastAsia="Arial" w:hAnsi="Arial" w:cs="Arial"/>
                <w:b/>
                <w:bCs/>
                <w:color w:val="516984"/>
                <w:sz w:val="22"/>
                <w:szCs w:val="22"/>
              </w:rPr>
              <w:t>Rent Arrears Tracker</w:t>
            </w:r>
          </w:p>
          <w:p w:rsidR="009567C9" w:rsidRDefault="006F455E">
            <w:pPr>
              <w:spacing w:before="60"/>
              <w:jc w:val="both"/>
            </w:pPr>
            <w:r>
              <w:rPr>
                <w:rFonts w:ascii="Arial" w:eastAsia="Arial" w:hAnsi="Arial" w:cs="Arial"/>
                <w:color w:val="4C4848"/>
              </w:rPr>
              <w:t>A digital arrears monitoring and notification tool for landlords and property managers — tracking overdue rent, generating demand notices, and maintaining a full audit trail for regulatory proceedings.</w:t>
            </w:r>
          </w:p>
        </w:tc>
        <w:tc>
          <w:tcPr>
            <w:tcW w:w="5260" w:type="dxa"/>
            <w:tcBorders>
              <w:top w:val="single" w:sz="8" w:space="0" w:color="63645A"/>
              <w:left w:val="single" w:sz="4" w:space="0" w:color="D9D5D0"/>
              <w:bottom w:val="none" w:sz="0" w:space="0" w:color="FFFFFF"/>
              <w:right w:val="none" w:sz="0" w:space="0" w:color="FFFFFF"/>
            </w:tcBorders>
            <w:shd w:val="clear" w:color="auto" w:fill="F5F2EF"/>
            <w:tcMar>
              <w:top w:w="140" w:type="dxa"/>
              <w:left w:w="180" w:type="dxa"/>
              <w:bottom w:w="140" w:type="dxa"/>
              <w:right w:w="180" w:type="dxa"/>
            </w:tcMar>
          </w:tcPr>
          <w:p w:rsidR="009567C9" w:rsidRDefault="006F455E">
            <w:r>
              <w:rPr>
                <w:rFonts w:ascii="Arial" w:eastAsia="Arial" w:hAnsi="Arial" w:cs="Arial"/>
                <w:b/>
                <w:bCs/>
                <w:color w:val="63645A"/>
                <w:sz w:val="22"/>
                <w:szCs w:val="22"/>
              </w:rPr>
              <w:t>Rent Control Form Suite</w:t>
            </w:r>
          </w:p>
          <w:p w:rsidR="009567C9" w:rsidRDefault="006F455E">
            <w:pPr>
              <w:spacing w:before="60"/>
              <w:jc w:val="both"/>
            </w:pPr>
            <w:r>
              <w:rPr>
                <w:rFonts w:ascii="Arial" w:eastAsia="Arial" w:hAnsi="Arial" w:cs="Arial"/>
                <w:color w:val="4C4848"/>
              </w:rPr>
              <w:t xml:space="preserve">A complete digital library of </w:t>
            </w:r>
            <w:r>
              <w:rPr>
                <w:rFonts w:ascii="Arial" w:eastAsia="Arial" w:hAnsi="Arial" w:cs="Arial"/>
                <w:color w:val="4C4848"/>
              </w:rPr>
              <w:t>all 34 official forms under L.I. 369 — fillable, printable, and pre-populated where applicable — covering complaints, summons, notices, and referrals.</w:t>
            </w:r>
          </w:p>
        </w:tc>
      </w:tr>
    </w:tbl>
    <w:p w:rsidR="009567C9" w:rsidRDefault="009567C9">
      <w:pPr>
        <w:spacing w:before="120"/>
      </w:pPr>
    </w:p>
    <w:p w:rsidR="009567C9" w:rsidRDefault="006F455E">
      <w:pPr>
        <w:pBdr>
          <w:bottom w:val="single" w:sz="4" w:space="1" w:color="63645A"/>
        </w:pBdr>
        <w:spacing w:before="200" w:after="80"/>
      </w:pPr>
      <w:r>
        <w:rPr>
          <w:rFonts w:ascii="Arial" w:eastAsia="Arial" w:hAnsi="Arial" w:cs="Arial"/>
          <w:b/>
          <w:bCs/>
          <w:color w:val="516984"/>
          <w:sz w:val="24"/>
          <w:szCs w:val="24"/>
        </w:rPr>
        <w:t>Property Management Products</w:t>
      </w:r>
    </w:p>
    <w:tbl>
      <w:tblPr>
        <w:tblW w:w="9820" w:type="dxa"/>
        <w:tblInd w:w="17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5260"/>
      </w:tblGrid>
      <w:tr w:rsidR="009567C9" w:rsidTr="007E4EDA">
        <w:tblPrEx>
          <w:tblCellMar>
            <w:top w:w="0" w:type="dxa"/>
            <w:bottom w:w="0" w:type="dxa"/>
          </w:tblCellMar>
        </w:tblPrEx>
        <w:tc>
          <w:tcPr>
            <w:tcW w:w="4560" w:type="dxa"/>
            <w:tcBorders>
              <w:top w:val="single" w:sz="8" w:space="0" w:color="516984"/>
              <w:left w:val="none" w:sz="0" w:space="0" w:color="FFFFFF"/>
              <w:bottom w:val="none" w:sz="0" w:space="0" w:color="FFFFFF"/>
              <w:right w:val="none" w:sz="0" w:space="0" w:color="FFFFFF"/>
            </w:tcBorders>
            <w:shd w:val="clear" w:color="auto" w:fill="F5F2EF"/>
            <w:tcMar>
              <w:top w:w="140" w:type="dxa"/>
              <w:left w:w="180" w:type="dxa"/>
              <w:bottom w:w="140" w:type="dxa"/>
              <w:right w:w="180" w:type="dxa"/>
            </w:tcMar>
          </w:tcPr>
          <w:p w:rsidR="009567C9" w:rsidRDefault="006F455E">
            <w:r>
              <w:rPr>
                <w:rFonts w:ascii="Arial" w:eastAsia="Arial" w:hAnsi="Arial" w:cs="Arial"/>
                <w:b/>
                <w:bCs/>
                <w:color w:val="516984"/>
                <w:sz w:val="22"/>
                <w:szCs w:val="22"/>
              </w:rPr>
              <w:t>Property Register Digital</w:t>
            </w:r>
          </w:p>
          <w:p w:rsidR="009567C9" w:rsidRDefault="006F455E">
            <w:pPr>
              <w:spacing w:before="60"/>
              <w:jc w:val="both"/>
            </w:pPr>
            <w:r>
              <w:rPr>
                <w:rFonts w:ascii="Arial" w:eastAsia="Arial" w:hAnsi="Arial" w:cs="Arial"/>
                <w:color w:val="4C4848"/>
              </w:rPr>
              <w:t>A cloud-based property portfolio register enabling landlords and property managers to maintain structured records of properties, units, tenants, maintenance history, and income — accessible from any device.</w:t>
            </w:r>
          </w:p>
        </w:tc>
        <w:tc>
          <w:tcPr>
            <w:tcW w:w="5260" w:type="dxa"/>
            <w:tcBorders>
              <w:top w:val="single" w:sz="8" w:space="0" w:color="63645A"/>
              <w:left w:val="single" w:sz="4" w:space="0" w:color="D9D5D0"/>
              <w:bottom w:val="none" w:sz="0" w:space="0" w:color="FFFFFF"/>
              <w:right w:val="none" w:sz="0" w:space="0" w:color="FFFFFF"/>
            </w:tcBorders>
            <w:shd w:val="clear" w:color="auto" w:fill="F5F2EF"/>
            <w:tcMar>
              <w:top w:w="140" w:type="dxa"/>
              <w:left w:w="180" w:type="dxa"/>
              <w:bottom w:w="140" w:type="dxa"/>
              <w:right w:w="180" w:type="dxa"/>
            </w:tcMar>
          </w:tcPr>
          <w:p w:rsidR="009567C9" w:rsidRDefault="006F455E">
            <w:r>
              <w:rPr>
                <w:rFonts w:ascii="Arial" w:eastAsia="Arial" w:hAnsi="Arial" w:cs="Arial"/>
                <w:b/>
                <w:bCs/>
                <w:color w:val="63645A"/>
                <w:sz w:val="22"/>
                <w:szCs w:val="22"/>
              </w:rPr>
              <w:t>Maintenance Request System</w:t>
            </w:r>
          </w:p>
          <w:p w:rsidR="009567C9" w:rsidRDefault="006F455E">
            <w:pPr>
              <w:spacing w:before="60"/>
              <w:jc w:val="both"/>
            </w:pPr>
            <w:r>
              <w:rPr>
                <w:rFonts w:ascii="Arial" w:eastAsia="Arial" w:hAnsi="Arial" w:cs="Arial"/>
                <w:color w:val="4C4848"/>
              </w:rPr>
              <w:t xml:space="preserve">A digital maintenance </w:t>
            </w:r>
            <w:r>
              <w:rPr>
                <w:rFonts w:ascii="Arial" w:eastAsia="Arial" w:hAnsi="Arial" w:cs="Arial"/>
                <w:color w:val="4C4848"/>
              </w:rPr>
              <w:t>logging and tracking platform connecting tenants to landlords and contractors — with status updates, cost tracking, and a complete photographic record of all works completed.</w:t>
            </w:r>
          </w:p>
        </w:tc>
      </w:tr>
    </w:tbl>
    <w:p w:rsidR="009567C9" w:rsidRDefault="009567C9">
      <w:pPr>
        <w:spacing w:before="120"/>
      </w:pPr>
    </w:p>
    <w:tbl>
      <w:tblPr>
        <w:tblW w:w="9820" w:type="dxa"/>
        <w:tblInd w:w="17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5260"/>
      </w:tblGrid>
      <w:tr w:rsidR="009567C9" w:rsidTr="007E4EDA">
        <w:tblPrEx>
          <w:tblCellMar>
            <w:top w:w="0" w:type="dxa"/>
            <w:bottom w:w="0" w:type="dxa"/>
          </w:tblCellMar>
        </w:tblPrEx>
        <w:tc>
          <w:tcPr>
            <w:tcW w:w="4560" w:type="dxa"/>
            <w:tcBorders>
              <w:top w:val="single" w:sz="8" w:space="0" w:color="516984"/>
              <w:left w:val="none" w:sz="0" w:space="0" w:color="FFFFFF"/>
              <w:bottom w:val="none" w:sz="0" w:space="0" w:color="FFFFFF"/>
              <w:right w:val="none" w:sz="0" w:space="0" w:color="FFFFFF"/>
            </w:tcBorders>
            <w:shd w:val="clear" w:color="auto" w:fill="F5F2EF"/>
            <w:tcMar>
              <w:top w:w="140" w:type="dxa"/>
              <w:left w:w="180" w:type="dxa"/>
              <w:bottom w:w="140" w:type="dxa"/>
              <w:right w:w="180" w:type="dxa"/>
            </w:tcMar>
          </w:tcPr>
          <w:p w:rsidR="009567C9" w:rsidRDefault="006F455E">
            <w:r>
              <w:rPr>
                <w:rFonts w:ascii="Arial" w:eastAsia="Arial" w:hAnsi="Arial" w:cs="Arial"/>
                <w:b/>
                <w:bCs/>
                <w:color w:val="516984"/>
                <w:sz w:val="22"/>
                <w:szCs w:val="22"/>
              </w:rPr>
              <w:t>Landlord-Tenant Portal</w:t>
            </w:r>
          </w:p>
          <w:p w:rsidR="009567C9" w:rsidRDefault="006F455E">
            <w:pPr>
              <w:spacing w:before="60"/>
              <w:jc w:val="both"/>
            </w:pPr>
            <w:r>
              <w:rPr>
                <w:rFonts w:ascii="Arial" w:eastAsia="Arial" w:hAnsi="Arial" w:cs="Arial"/>
                <w:color w:val="4C4848"/>
              </w:rPr>
              <w:t>A secure communication and document-sharing portal enabl</w:t>
            </w:r>
            <w:r>
              <w:rPr>
                <w:rFonts w:ascii="Arial" w:eastAsia="Arial" w:hAnsi="Arial" w:cs="Arial"/>
                <w:color w:val="4C4848"/>
              </w:rPr>
              <w:t>ing landlords and tenants to exchange notices, receipts, agreements, and correspondence — with read receipts and timestamped audit logs.</w:t>
            </w:r>
          </w:p>
        </w:tc>
        <w:tc>
          <w:tcPr>
            <w:tcW w:w="5260" w:type="dxa"/>
            <w:tcBorders>
              <w:top w:val="single" w:sz="8" w:space="0" w:color="63645A"/>
              <w:left w:val="single" w:sz="4" w:space="0" w:color="D9D5D0"/>
              <w:bottom w:val="none" w:sz="0" w:space="0" w:color="FFFFFF"/>
              <w:right w:val="none" w:sz="0" w:space="0" w:color="FFFFFF"/>
            </w:tcBorders>
            <w:shd w:val="clear" w:color="auto" w:fill="F5F2EF"/>
            <w:tcMar>
              <w:top w:w="140" w:type="dxa"/>
              <w:left w:w="180" w:type="dxa"/>
              <w:bottom w:w="140" w:type="dxa"/>
              <w:right w:w="180" w:type="dxa"/>
            </w:tcMar>
          </w:tcPr>
          <w:p w:rsidR="009567C9" w:rsidRDefault="006F455E">
            <w:r>
              <w:rPr>
                <w:rFonts w:ascii="Arial" w:eastAsia="Arial" w:hAnsi="Arial" w:cs="Arial"/>
                <w:b/>
                <w:bCs/>
                <w:color w:val="63645A"/>
                <w:sz w:val="22"/>
                <w:szCs w:val="22"/>
              </w:rPr>
              <w:t>Property Compliance Toolkit</w:t>
            </w:r>
          </w:p>
          <w:p w:rsidR="009567C9" w:rsidRDefault="006F455E">
            <w:pPr>
              <w:spacing w:before="60"/>
              <w:jc w:val="both"/>
            </w:pPr>
            <w:r>
              <w:rPr>
                <w:rFonts w:ascii="Arial" w:eastAsia="Arial" w:hAnsi="Arial" w:cs="Arial"/>
                <w:color w:val="4C4848"/>
              </w:rPr>
              <w:t>A digital compliance kit equipping landlords with the tools, templates, and knowledge to op</w:t>
            </w:r>
            <w:r>
              <w:rPr>
                <w:rFonts w:ascii="Arial" w:eastAsia="Arial" w:hAnsi="Arial" w:cs="Arial"/>
                <w:color w:val="4C4848"/>
              </w:rPr>
              <w:t>erate within Ghana's regulatory framework — covering rent reviews, notice periods, and statutory obligations.</w:t>
            </w:r>
          </w:p>
        </w:tc>
      </w:tr>
    </w:tbl>
    <w:p w:rsidR="009567C9" w:rsidRDefault="009567C9">
      <w:pPr>
        <w:spacing w:before="120"/>
      </w:pPr>
    </w:p>
    <w:p w:rsidR="009567C9" w:rsidRDefault="006F455E">
      <w:pPr>
        <w:pBdr>
          <w:bottom w:val="single" w:sz="4" w:space="1" w:color="63645A"/>
        </w:pBdr>
        <w:spacing w:before="200" w:after="80"/>
      </w:pPr>
      <w:r>
        <w:rPr>
          <w:rFonts w:ascii="Arial" w:eastAsia="Arial" w:hAnsi="Arial" w:cs="Arial"/>
          <w:b/>
          <w:bCs/>
          <w:color w:val="516984"/>
          <w:sz w:val="24"/>
          <w:szCs w:val="24"/>
        </w:rPr>
        <w:t>Advisory &amp; Education Products</w:t>
      </w:r>
    </w:p>
    <w:tbl>
      <w:tblPr>
        <w:tblW w:w="9820" w:type="dxa"/>
        <w:tblInd w:w="17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5260"/>
      </w:tblGrid>
      <w:tr w:rsidR="009567C9" w:rsidTr="007E4EDA">
        <w:tblPrEx>
          <w:tblCellMar>
            <w:top w:w="0" w:type="dxa"/>
            <w:bottom w:w="0" w:type="dxa"/>
          </w:tblCellMar>
        </w:tblPrEx>
        <w:tc>
          <w:tcPr>
            <w:tcW w:w="4560" w:type="dxa"/>
            <w:tcBorders>
              <w:top w:val="single" w:sz="8" w:space="0" w:color="516984"/>
              <w:left w:val="none" w:sz="0" w:space="0" w:color="FFFFFF"/>
              <w:bottom w:val="none" w:sz="0" w:space="0" w:color="FFFFFF"/>
              <w:right w:val="none" w:sz="0" w:space="0" w:color="FFFFFF"/>
            </w:tcBorders>
            <w:shd w:val="clear" w:color="auto" w:fill="F5F2EF"/>
            <w:tcMar>
              <w:top w:w="140" w:type="dxa"/>
              <w:left w:w="180" w:type="dxa"/>
              <w:bottom w:w="140" w:type="dxa"/>
              <w:right w:w="180" w:type="dxa"/>
            </w:tcMar>
          </w:tcPr>
          <w:p w:rsidR="009567C9" w:rsidRDefault="006F455E">
            <w:r>
              <w:rPr>
                <w:rFonts w:ascii="Arial" w:eastAsia="Arial" w:hAnsi="Arial" w:cs="Arial"/>
                <w:b/>
                <w:bCs/>
                <w:color w:val="516984"/>
                <w:sz w:val="22"/>
                <w:szCs w:val="22"/>
              </w:rPr>
              <w:t>Know Your Rights — Tenant Edition</w:t>
            </w:r>
          </w:p>
          <w:p w:rsidR="009567C9" w:rsidRDefault="006F455E">
            <w:pPr>
              <w:spacing w:before="60"/>
              <w:jc w:val="both"/>
            </w:pPr>
            <w:r>
              <w:rPr>
                <w:rFonts w:ascii="Arial" w:eastAsia="Arial" w:hAnsi="Arial" w:cs="Arial"/>
                <w:color w:val="4C4848"/>
              </w:rPr>
              <w:t>A self-paced digital guide educating tenants on their statutory rights under Ghana's Rent Act, covering security deposits, advance rent limits, repairs obligations, and the Rent Control complaints process.</w:t>
            </w:r>
          </w:p>
        </w:tc>
        <w:tc>
          <w:tcPr>
            <w:tcW w:w="5260" w:type="dxa"/>
            <w:tcBorders>
              <w:top w:val="single" w:sz="8" w:space="0" w:color="63645A"/>
              <w:left w:val="single" w:sz="4" w:space="0" w:color="D9D5D0"/>
              <w:bottom w:val="none" w:sz="0" w:space="0" w:color="FFFFFF"/>
              <w:right w:val="none" w:sz="0" w:space="0" w:color="FFFFFF"/>
            </w:tcBorders>
            <w:shd w:val="clear" w:color="auto" w:fill="F5F2EF"/>
            <w:tcMar>
              <w:top w:w="140" w:type="dxa"/>
              <w:left w:w="180" w:type="dxa"/>
              <w:bottom w:w="140" w:type="dxa"/>
              <w:right w:w="180" w:type="dxa"/>
            </w:tcMar>
          </w:tcPr>
          <w:p w:rsidR="009567C9" w:rsidRDefault="006F455E">
            <w:r>
              <w:rPr>
                <w:rFonts w:ascii="Arial" w:eastAsia="Arial" w:hAnsi="Arial" w:cs="Arial"/>
                <w:b/>
                <w:bCs/>
                <w:color w:val="63645A"/>
                <w:sz w:val="22"/>
                <w:szCs w:val="22"/>
              </w:rPr>
              <w:t>Landlord Certification Programme</w:t>
            </w:r>
          </w:p>
          <w:p w:rsidR="009567C9" w:rsidRDefault="006F455E">
            <w:pPr>
              <w:spacing w:before="60"/>
              <w:jc w:val="both"/>
            </w:pPr>
            <w:r>
              <w:rPr>
                <w:rFonts w:ascii="Arial" w:eastAsia="Arial" w:hAnsi="Arial" w:cs="Arial"/>
                <w:color w:val="4C4848"/>
              </w:rPr>
              <w:t>An accredited onl</w:t>
            </w:r>
            <w:r>
              <w:rPr>
                <w:rFonts w:ascii="Arial" w:eastAsia="Arial" w:hAnsi="Arial" w:cs="Arial"/>
                <w:color w:val="4C4848"/>
              </w:rPr>
              <w:t>ine training programme covering property law, rent administration, tenancy management, and landlord-tenant dispute resolution — culminating in a Property and Rent Consult certificate.</w:t>
            </w:r>
          </w:p>
        </w:tc>
      </w:tr>
    </w:tbl>
    <w:p w:rsidR="009567C9" w:rsidRDefault="009567C9">
      <w:pPr>
        <w:spacing w:before="120"/>
      </w:pPr>
    </w:p>
    <w:tbl>
      <w:tblPr>
        <w:tblW w:w="9820" w:type="dxa"/>
        <w:tblInd w:w="17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5260"/>
      </w:tblGrid>
      <w:tr w:rsidR="009567C9" w:rsidTr="007E4EDA">
        <w:tblPrEx>
          <w:tblCellMar>
            <w:top w:w="0" w:type="dxa"/>
            <w:bottom w:w="0" w:type="dxa"/>
          </w:tblCellMar>
        </w:tblPrEx>
        <w:tc>
          <w:tcPr>
            <w:tcW w:w="4560" w:type="dxa"/>
            <w:tcBorders>
              <w:top w:val="single" w:sz="8" w:space="0" w:color="516984"/>
              <w:left w:val="none" w:sz="0" w:space="0" w:color="FFFFFF"/>
              <w:bottom w:val="none" w:sz="0" w:space="0" w:color="FFFFFF"/>
              <w:right w:val="none" w:sz="0" w:space="0" w:color="FFFFFF"/>
            </w:tcBorders>
            <w:shd w:val="clear" w:color="auto" w:fill="F5F2EF"/>
            <w:tcMar>
              <w:top w:w="140" w:type="dxa"/>
              <w:left w:w="180" w:type="dxa"/>
              <w:bottom w:w="140" w:type="dxa"/>
              <w:right w:w="180" w:type="dxa"/>
            </w:tcMar>
          </w:tcPr>
          <w:p w:rsidR="009567C9" w:rsidRDefault="006F455E">
            <w:r>
              <w:rPr>
                <w:rFonts w:ascii="Arial" w:eastAsia="Arial" w:hAnsi="Arial" w:cs="Arial"/>
                <w:b/>
                <w:bCs/>
                <w:color w:val="516984"/>
                <w:sz w:val="22"/>
                <w:szCs w:val="22"/>
              </w:rPr>
              <w:t>Investment Property Appraisal Tool</w:t>
            </w:r>
          </w:p>
          <w:p w:rsidR="009567C9" w:rsidRDefault="006F455E">
            <w:pPr>
              <w:spacing w:before="60"/>
              <w:jc w:val="both"/>
            </w:pPr>
            <w:r>
              <w:rPr>
                <w:rFonts w:ascii="Arial" w:eastAsia="Arial" w:hAnsi="Arial" w:cs="Arial"/>
                <w:color w:val="4C4848"/>
              </w:rPr>
              <w:t xml:space="preserve">A digital appraisal platform enabling property investors to assess rental yield, occupancy rates, market </w:t>
            </w:r>
            <w:proofErr w:type="spellStart"/>
            <w:r>
              <w:rPr>
                <w:rFonts w:ascii="Arial" w:eastAsia="Arial" w:hAnsi="Arial" w:cs="Arial"/>
                <w:color w:val="4C4848"/>
              </w:rPr>
              <w:t>comparables</w:t>
            </w:r>
            <w:proofErr w:type="spellEnd"/>
            <w:r>
              <w:rPr>
                <w:rFonts w:ascii="Arial" w:eastAsia="Arial" w:hAnsi="Arial" w:cs="Arial"/>
                <w:color w:val="4C4848"/>
              </w:rPr>
              <w:t>, and projected returns on residential property investments across Greater Accra.</w:t>
            </w:r>
          </w:p>
        </w:tc>
        <w:tc>
          <w:tcPr>
            <w:tcW w:w="5260" w:type="dxa"/>
            <w:tcBorders>
              <w:top w:val="single" w:sz="8" w:space="0" w:color="63645A"/>
              <w:left w:val="single" w:sz="4" w:space="0" w:color="D9D5D0"/>
              <w:bottom w:val="none" w:sz="0" w:space="0" w:color="FFFFFF"/>
              <w:right w:val="none" w:sz="0" w:space="0" w:color="FFFFFF"/>
            </w:tcBorders>
            <w:shd w:val="clear" w:color="auto" w:fill="F5F2EF"/>
            <w:tcMar>
              <w:top w:w="140" w:type="dxa"/>
              <w:left w:w="180" w:type="dxa"/>
              <w:bottom w:w="140" w:type="dxa"/>
              <w:right w:w="180" w:type="dxa"/>
            </w:tcMar>
          </w:tcPr>
          <w:p w:rsidR="009567C9" w:rsidRDefault="006F455E">
            <w:r>
              <w:rPr>
                <w:rFonts w:ascii="Arial" w:eastAsia="Arial" w:hAnsi="Arial" w:cs="Arial"/>
                <w:b/>
                <w:bCs/>
                <w:color w:val="63645A"/>
                <w:sz w:val="22"/>
                <w:szCs w:val="22"/>
              </w:rPr>
              <w:t>Regulatory Watch Subscription</w:t>
            </w:r>
          </w:p>
          <w:p w:rsidR="009567C9" w:rsidRDefault="006F455E">
            <w:pPr>
              <w:spacing w:before="60"/>
              <w:jc w:val="both"/>
            </w:pPr>
            <w:r>
              <w:rPr>
                <w:rFonts w:ascii="Arial" w:eastAsia="Arial" w:hAnsi="Arial" w:cs="Arial"/>
                <w:color w:val="4C4848"/>
              </w:rPr>
              <w:t>A monthly digital intelligen</w:t>
            </w:r>
            <w:r>
              <w:rPr>
                <w:rFonts w:ascii="Arial" w:eastAsia="Arial" w:hAnsi="Arial" w:cs="Arial"/>
                <w:color w:val="4C4848"/>
              </w:rPr>
              <w:t>ce briefing covering legislative changes, Rent Control Department circulars, court decisions on tenancy disputes, and market rent trend data — delivered by email and in-app.</w:t>
            </w:r>
          </w:p>
        </w:tc>
      </w:tr>
    </w:tbl>
    <w:p w:rsidR="009567C9" w:rsidRDefault="009567C9">
      <w:pPr>
        <w:spacing w:before="200"/>
      </w:pPr>
    </w:p>
    <w:p w:rsidR="009567C9" w:rsidRDefault="006F455E" w:rsidP="007E4EDA">
      <w:pPr>
        <w:shd w:val="clear" w:color="auto" w:fill="516984"/>
        <w:tabs>
          <w:tab w:val="left" w:pos="0"/>
        </w:tabs>
        <w:spacing w:before="320" w:after="160"/>
      </w:pPr>
      <w:r>
        <w:rPr>
          <w:rFonts w:ascii="Arial" w:eastAsia="Arial" w:hAnsi="Arial" w:cs="Arial"/>
          <w:b/>
          <w:bCs/>
          <w:color w:val="FFFFFF"/>
          <w:sz w:val="26"/>
          <w:szCs w:val="26"/>
        </w:rPr>
        <w:lastRenderedPageBreak/>
        <w:t>04.  OUR VALUES — ALPINE</w:t>
      </w:r>
    </w:p>
    <w:p w:rsidR="009567C9" w:rsidRDefault="009567C9">
      <w:pPr>
        <w:spacing w:before="80"/>
      </w:pPr>
    </w:p>
    <w:tbl>
      <w:tblPr>
        <w:tblW w:w="9820" w:type="dxa"/>
        <w:tblInd w:w="11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9020"/>
      </w:tblGrid>
      <w:tr w:rsidR="009567C9" w:rsidTr="00F22B60">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516984"/>
            <w:tcMar>
              <w:top w:w="80" w:type="dxa"/>
              <w:left w:w="120" w:type="dxa"/>
              <w:bottom w:w="80" w:type="dxa"/>
              <w:right w:w="120" w:type="dxa"/>
            </w:tcMar>
            <w:vAlign w:val="center"/>
          </w:tcPr>
          <w:p w:rsidR="009567C9" w:rsidRDefault="006F455E">
            <w:pPr>
              <w:jc w:val="center"/>
            </w:pPr>
            <w:r>
              <w:rPr>
                <w:rFonts w:ascii="Arial" w:eastAsia="Arial" w:hAnsi="Arial" w:cs="Arial"/>
                <w:b/>
                <w:bCs/>
                <w:color w:val="FFFFFF"/>
                <w:sz w:val="24"/>
                <w:szCs w:val="24"/>
              </w:rPr>
              <w:t>A</w:t>
            </w:r>
          </w:p>
        </w:tc>
        <w:tc>
          <w:tcPr>
            <w:tcW w:w="9020" w:type="dxa"/>
            <w:tcBorders>
              <w:top w:val="none" w:sz="0" w:space="0" w:color="FFFFFF"/>
              <w:left w:val="none" w:sz="0" w:space="0" w:color="FFFFFF"/>
              <w:bottom w:val="single" w:sz="4" w:space="0" w:color="E0DDD9"/>
              <w:right w:val="none" w:sz="0" w:space="0" w:color="FFFFFF"/>
            </w:tcBorders>
            <w:shd w:val="clear" w:color="auto" w:fill="F5F2EF"/>
            <w:tcMar>
              <w:top w:w="80" w:type="dxa"/>
              <w:left w:w="180" w:type="dxa"/>
              <w:bottom w:w="80" w:type="dxa"/>
              <w:right w:w="120" w:type="dxa"/>
            </w:tcMar>
          </w:tcPr>
          <w:p w:rsidR="009567C9" w:rsidRDefault="006F455E">
            <w:proofErr w:type="gramStart"/>
            <w:r>
              <w:rPr>
                <w:rFonts w:ascii="Arial" w:eastAsia="Arial" w:hAnsi="Arial" w:cs="Arial"/>
                <w:b/>
                <w:bCs/>
                <w:color w:val="36221C"/>
                <w:sz w:val="22"/>
                <w:szCs w:val="22"/>
              </w:rPr>
              <w:t>Accountability</w:t>
            </w:r>
            <w:r>
              <w:rPr>
                <w:rFonts w:ascii="Arial" w:eastAsia="Arial" w:hAnsi="Arial" w:cs="Arial"/>
                <w:color w:val="4C4848"/>
                <w:sz w:val="22"/>
                <w:szCs w:val="22"/>
              </w:rPr>
              <w:t xml:space="preserve">  —</w:t>
            </w:r>
            <w:proofErr w:type="gramEnd"/>
            <w:r>
              <w:rPr>
                <w:rFonts w:ascii="Arial" w:eastAsia="Arial" w:hAnsi="Arial" w:cs="Arial"/>
                <w:color w:val="4C4848"/>
                <w:sz w:val="22"/>
                <w:szCs w:val="22"/>
              </w:rPr>
              <w:t xml:space="preserve">  We act as professional intermediaries — ensuring accountability rests with the manager, not the absent owner.</w:t>
            </w:r>
          </w:p>
        </w:tc>
      </w:tr>
    </w:tbl>
    <w:p w:rsidR="009567C9" w:rsidRDefault="009567C9">
      <w:pPr>
        <w:spacing w:before="60"/>
      </w:pPr>
    </w:p>
    <w:tbl>
      <w:tblPr>
        <w:tblW w:w="9820" w:type="dxa"/>
        <w:tblInd w:w="11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9020"/>
      </w:tblGrid>
      <w:tr w:rsidR="009567C9" w:rsidTr="00F22B60">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516984"/>
            <w:tcMar>
              <w:top w:w="80" w:type="dxa"/>
              <w:left w:w="120" w:type="dxa"/>
              <w:bottom w:w="80" w:type="dxa"/>
              <w:right w:w="120" w:type="dxa"/>
            </w:tcMar>
            <w:vAlign w:val="center"/>
          </w:tcPr>
          <w:p w:rsidR="009567C9" w:rsidRDefault="006F455E">
            <w:pPr>
              <w:jc w:val="center"/>
            </w:pPr>
            <w:r>
              <w:rPr>
                <w:rFonts w:ascii="Arial" w:eastAsia="Arial" w:hAnsi="Arial" w:cs="Arial"/>
                <w:b/>
                <w:bCs/>
                <w:color w:val="FFFFFF"/>
                <w:sz w:val="24"/>
                <w:szCs w:val="24"/>
              </w:rPr>
              <w:t>P</w:t>
            </w:r>
          </w:p>
        </w:tc>
        <w:tc>
          <w:tcPr>
            <w:tcW w:w="9020" w:type="dxa"/>
            <w:tcBorders>
              <w:top w:val="none" w:sz="0" w:space="0" w:color="FFFFFF"/>
              <w:left w:val="none" w:sz="0" w:space="0" w:color="FFFFFF"/>
              <w:bottom w:val="single" w:sz="4" w:space="0" w:color="E0DDD9"/>
              <w:right w:val="none" w:sz="0" w:space="0" w:color="FFFFFF"/>
            </w:tcBorders>
            <w:shd w:val="clear" w:color="auto" w:fill="F5F2EF"/>
            <w:tcMar>
              <w:top w:w="80" w:type="dxa"/>
              <w:left w:w="180" w:type="dxa"/>
              <w:bottom w:w="80" w:type="dxa"/>
              <w:right w:w="120" w:type="dxa"/>
            </w:tcMar>
          </w:tcPr>
          <w:p w:rsidR="009567C9" w:rsidRDefault="006F455E">
            <w:proofErr w:type="gramStart"/>
            <w:r>
              <w:rPr>
                <w:rFonts w:ascii="Arial" w:eastAsia="Arial" w:hAnsi="Arial" w:cs="Arial"/>
                <w:b/>
                <w:bCs/>
                <w:color w:val="36221C"/>
                <w:sz w:val="22"/>
                <w:szCs w:val="22"/>
              </w:rPr>
              <w:t>Professionalism</w:t>
            </w:r>
            <w:r>
              <w:rPr>
                <w:rFonts w:ascii="Arial" w:eastAsia="Arial" w:hAnsi="Arial" w:cs="Arial"/>
                <w:color w:val="4C4848"/>
                <w:sz w:val="22"/>
                <w:szCs w:val="22"/>
              </w:rPr>
              <w:t xml:space="preserve">  —</w:t>
            </w:r>
            <w:proofErr w:type="gramEnd"/>
            <w:r>
              <w:rPr>
                <w:rFonts w:ascii="Arial" w:eastAsia="Arial" w:hAnsi="Arial" w:cs="Arial"/>
                <w:color w:val="4C4848"/>
                <w:sz w:val="22"/>
                <w:szCs w:val="22"/>
              </w:rPr>
              <w:t xml:space="preserve">  We hold ourselves to the highest standards in all service delivery, without compromise.</w:t>
            </w:r>
          </w:p>
        </w:tc>
      </w:tr>
    </w:tbl>
    <w:p w:rsidR="009567C9" w:rsidRDefault="009567C9">
      <w:pPr>
        <w:spacing w:before="60"/>
      </w:pPr>
    </w:p>
    <w:tbl>
      <w:tblPr>
        <w:tblW w:w="9820" w:type="dxa"/>
        <w:tblInd w:w="11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9020"/>
      </w:tblGrid>
      <w:tr w:rsidR="009567C9" w:rsidTr="00F22B60">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516984"/>
            <w:tcMar>
              <w:top w:w="80" w:type="dxa"/>
              <w:left w:w="120" w:type="dxa"/>
              <w:bottom w:w="80" w:type="dxa"/>
              <w:right w:w="120" w:type="dxa"/>
            </w:tcMar>
            <w:vAlign w:val="center"/>
          </w:tcPr>
          <w:p w:rsidR="009567C9" w:rsidRDefault="006F455E">
            <w:pPr>
              <w:jc w:val="center"/>
            </w:pPr>
            <w:r>
              <w:rPr>
                <w:rFonts w:ascii="Arial" w:eastAsia="Arial" w:hAnsi="Arial" w:cs="Arial"/>
                <w:b/>
                <w:bCs/>
                <w:color w:val="FFFFFF"/>
                <w:sz w:val="24"/>
                <w:szCs w:val="24"/>
              </w:rPr>
              <w:t>L</w:t>
            </w:r>
          </w:p>
        </w:tc>
        <w:tc>
          <w:tcPr>
            <w:tcW w:w="9020" w:type="dxa"/>
            <w:tcBorders>
              <w:top w:val="none" w:sz="0" w:space="0" w:color="FFFFFF"/>
              <w:left w:val="none" w:sz="0" w:space="0" w:color="FFFFFF"/>
              <w:bottom w:val="single" w:sz="4" w:space="0" w:color="E0DDD9"/>
              <w:right w:val="none" w:sz="0" w:space="0" w:color="FFFFFF"/>
            </w:tcBorders>
            <w:shd w:val="clear" w:color="auto" w:fill="F5F2EF"/>
            <w:tcMar>
              <w:top w:w="80" w:type="dxa"/>
              <w:left w:w="180" w:type="dxa"/>
              <w:bottom w:w="80" w:type="dxa"/>
              <w:right w:w="120" w:type="dxa"/>
            </w:tcMar>
          </w:tcPr>
          <w:p w:rsidR="009567C9" w:rsidRDefault="006F455E">
            <w:r>
              <w:rPr>
                <w:rFonts w:ascii="Arial" w:eastAsia="Arial" w:hAnsi="Arial" w:cs="Arial"/>
                <w:b/>
                <w:bCs/>
                <w:color w:val="36221C"/>
                <w:sz w:val="22"/>
                <w:szCs w:val="22"/>
              </w:rPr>
              <w:t xml:space="preserve">Loyalty to </w:t>
            </w:r>
            <w:proofErr w:type="gramStart"/>
            <w:r>
              <w:rPr>
                <w:rFonts w:ascii="Arial" w:eastAsia="Arial" w:hAnsi="Arial" w:cs="Arial"/>
                <w:b/>
                <w:bCs/>
                <w:color w:val="36221C"/>
                <w:sz w:val="22"/>
                <w:szCs w:val="22"/>
              </w:rPr>
              <w:t>Clients</w:t>
            </w:r>
            <w:r>
              <w:rPr>
                <w:rFonts w:ascii="Arial" w:eastAsia="Arial" w:hAnsi="Arial" w:cs="Arial"/>
                <w:color w:val="4C4848"/>
                <w:sz w:val="22"/>
                <w:szCs w:val="22"/>
              </w:rPr>
              <w:t xml:space="preserve">  —</w:t>
            </w:r>
            <w:proofErr w:type="gramEnd"/>
            <w:r>
              <w:rPr>
                <w:rFonts w:ascii="Arial" w:eastAsia="Arial" w:hAnsi="Arial" w:cs="Arial"/>
                <w:color w:val="4C4848"/>
                <w:sz w:val="22"/>
                <w:szCs w:val="22"/>
              </w:rPr>
              <w:t xml:space="preserve">  Ou</w:t>
            </w:r>
            <w:r>
              <w:rPr>
                <w:rFonts w:ascii="Arial" w:eastAsia="Arial" w:hAnsi="Arial" w:cs="Arial"/>
                <w:color w:val="4C4848"/>
                <w:sz w:val="22"/>
                <w:szCs w:val="22"/>
              </w:rPr>
              <w:t>r management team, staff, and clients are the heartbeat of the company. Their success is our purpose.</w:t>
            </w:r>
          </w:p>
        </w:tc>
      </w:tr>
    </w:tbl>
    <w:p w:rsidR="009567C9" w:rsidRDefault="009567C9">
      <w:pPr>
        <w:spacing w:before="60"/>
      </w:pPr>
    </w:p>
    <w:tbl>
      <w:tblPr>
        <w:tblW w:w="9820" w:type="dxa"/>
        <w:tblInd w:w="11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9020"/>
      </w:tblGrid>
      <w:tr w:rsidR="009567C9" w:rsidTr="00F22B60">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516984"/>
            <w:tcMar>
              <w:top w:w="80" w:type="dxa"/>
              <w:left w:w="120" w:type="dxa"/>
              <w:bottom w:w="80" w:type="dxa"/>
              <w:right w:w="120" w:type="dxa"/>
            </w:tcMar>
            <w:vAlign w:val="center"/>
          </w:tcPr>
          <w:p w:rsidR="009567C9" w:rsidRDefault="006F455E">
            <w:pPr>
              <w:jc w:val="center"/>
            </w:pPr>
            <w:r>
              <w:rPr>
                <w:rFonts w:ascii="Arial" w:eastAsia="Arial" w:hAnsi="Arial" w:cs="Arial"/>
                <w:b/>
                <w:bCs/>
                <w:color w:val="FFFFFF"/>
                <w:sz w:val="24"/>
                <w:szCs w:val="24"/>
              </w:rPr>
              <w:t>I</w:t>
            </w:r>
          </w:p>
        </w:tc>
        <w:tc>
          <w:tcPr>
            <w:tcW w:w="9020" w:type="dxa"/>
            <w:tcBorders>
              <w:top w:val="none" w:sz="0" w:space="0" w:color="FFFFFF"/>
              <w:left w:val="none" w:sz="0" w:space="0" w:color="FFFFFF"/>
              <w:bottom w:val="single" w:sz="4" w:space="0" w:color="E0DDD9"/>
              <w:right w:val="none" w:sz="0" w:space="0" w:color="FFFFFF"/>
            </w:tcBorders>
            <w:shd w:val="clear" w:color="auto" w:fill="F5F2EF"/>
            <w:tcMar>
              <w:top w:w="80" w:type="dxa"/>
              <w:left w:w="180" w:type="dxa"/>
              <w:bottom w:w="80" w:type="dxa"/>
              <w:right w:w="120" w:type="dxa"/>
            </w:tcMar>
          </w:tcPr>
          <w:p w:rsidR="009567C9" w:rsidRDefault="006F455E">
            <w:proofErr w:type="gramStart"/>
            <w:r>
              <w:rPr>
                <w:rFonts w:ascii="Arial" w:eastAsia="Arial" w:hAnsi="Arial" w:cs="Arial"/>
                <w:b/>
                <w:bCs/>
                <w:color w:val="36221C"/>
                <w:sz w:val="22"/>
                <w:szCs w:val="22"/>
              </w:rPr>
              <w:t>Integrity</w:t>
            </w:r>
            <w:r>
              <w:rPr>
                <w:rFonts w:ascii="Arial" w:eastAsia="Arial" w:hAnsi="Arial" w:cs="Arial"/>
                <w:color w:val="4C4848"/>
                <w:sz w:val="22"/>
                <w:szCs w:val="22"/>
              </w:rPr>
              <w:t xml:space="preserve">  —</w:t>
            </w:r>
            <w:proofErr w:type="gramEnd"/>
            <w:r>
              <w:rPr>
                <w:rFonts w:ascii="Arial" w:eastAsia="Arial" w:hAnsi="Arial" w:cs="Arial"/>
                <w:color w:val="4C4848"/>
                <w:sz w:val="22"/>
                <w:szCs w:val="22"/>
              </w:rPr>
              <w:t xml:space="preserve">  We do not entertain shortcuts. Every interaction is guided by honesty and transparency.</w:t>
            </w:r>
          </w:p>
        </w:tc>
      </w:tr>
    </w:tbl>
    <w:p w:rsidR="009567C9" w:rsidRDefault="009567C9">
      <w:pPr>
        <w:spacing w:before="60"/>
      </w:pPr>
    </w:p>
    <w:tbl>
      <w:tblPr>
        <w:tblW w:w="9820" w:type="dxa"/>
        <w:tblInd w:w="11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9020"/>
      </w:tblGrid>
      <w:tr w:rsidR="009567C9" w:rsidTr="00F22B60">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516984"/>
            <w:tcMar>
              <w:top w:w="80" w:type="dxa"/>
              <w:left w:w="120" w:type="dxa"/>
              <w:bottom w:w="80" w:type="dxa"/>
              <w:right w:w="120" w:type="dxa"/>
            </w:tcMar>
            <w:vAlign w:val="center"/>
          </w:tcPr>
          <w:p w:rsidR="009567C9" w:rsidRDefault="006F455E">
            <w:pPr>
              <w:jc w:val="center"/>
            </w:pPr>
            <w:r>
              <w:rPr>
                <w:rFonts w:ascii="Arial" w:eastAsia="Arial" w:hAnsi="Arial" w:cs="Arial"/>
                <w:b/>
                <w:bCs/>
                <w:color w:val="FFFFFF"/>
                <w:sz w:val="24"/>
                <w:szCs w:val="24"/>
              </w:rPr>
              <w:t>N</w:t>
            </w:r>
          </w:p>
        </w:tc>
        <w:tc>
          <w:tcPr>
            <w:tcW w:w="9020" w:type="dxa"/>
            <w:tcBorders>
              <w:top w:val="none" w:sz="0" w:space="0" w:color="FFFFFF"/>
              <w:left w:val="none" w:sz="0" w:space="0" w:color="FFFFFF"/>
              <w:bottom w:val="single" w:sz="4" w:space="0" w:color="E0DDD9"/>
              <w:right w:val="none" w:sz="0" w:space="0" w:color="FFFFFF"/>
            </w:tcBorders>
            <w:shd w:val="clear" w:color="auto" w:fill="F5F2EF"/>
            <w:tcMar>
              <w:top w:w="80" w:type="dxa"/>
              <w:left w:w="180" w:type="dxa"/>
              <w:bottom w:w="80" w:type="dxa"/>
              <w:right w:w="120" w:type="dxa"/>
            </w:tcMar>
          </w:tcPr>
          <w:p w:rsidR="009567C9" w:rsidRDefault="006F455E">
            <w:r>
              <w:rPr>
                <w:rFonts w:ascii="Arial" w:eastAsia="Arial" w:hAnsi="Arial" w:cs="Arial"/>
                <w:b/>
                <w:bCs/>
                <w:color w:val="36221C"/>
                <w:sz w:val="22"/>
                <w:szCs w:val="22"/>
              </w:rPr>
              <w:t xml:space="preserve">New </w:t>
            </w:r>
            <w:proofErr w:type="gramStart"/>
            <w:r>
              <w:rPr>
                <w:rFonts w:ascii="Arial" w:eastAsia="Arial" w:hAnsi="Arial" w:cs="Arial"/>
                <w:b/>
                <w:bCs/>
                <w:color w:val="36221C"/>
                <w:sz w:val="22"/>
                <w:szCs w:val="22"/>
              </w:rPr>
              <w:t>Thinking</w:t>
            </w:r>
            <w:r>
              <w:rPr>
                <w:rFonts w:ascii="Arial" w:eastAsia="Arial" w:hAnsi="Arial" w:cs="Arial"/>
                <w:color w:val="4C4848"/>
                <w:sz w:val="22"/>
                <w:szCs w:val="22"/>
              </w:rPr>
              <w:t xml:space="preserve">  —</w:t>
            </w:r>
            <w:proofErr w:type="gramEnd"/>
            <w:r>
              <w:rPr>
                <w:rFonts w:ascii="Arial" w:eastAsia="Arial" w:hAnsi="Arial" w:cs="Arial"/>
                <w:color w:val="4C4848"/>
                <w:sz w:val="22"/>
                <w:szCs w:val="22"/>
              </w:rPr>
              <w:t xml:space="preserve">  We bring fresh, professional approaches to a market historically dominated by informal practices.</w:t>
            </w:r>
          </w:p>
        </w:tc>
      </w:tr>
    </w:tbl>
    <w:p w:rsidR="009567C9" w:rsidRDefault="009567C9">
      <w:pPr>
        <w:spacing w:before="60"/>
      </w:pPr>
    </w:p>
    <w:tbl>
      <w:tblPr>
        <w:tblW w:w="9820" w:type="dxa"/>
        <w:tblInd w:w="11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9020"/>
      </w:tblGrid>
      <w:tr w:rsidR="009567C9" w:rsidTr="00F22B60">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516984"/>
            <w:tcMar>
              <w:top w:w="80" w:type="dxa"/>
              <w:left w:w="120" w:type="dxa"/>
              <w:bottom w:w="80" w:type="dxa"/>
              <w:right w:w="120" w:type="dxa"/>
            </w:tcMar>
            <w:vAlign w:val="center"/>
          </w:tcPr>
          <w:p w:rsidR="009567C9" w:rsidRDefault="006F455E">
            <w:pPr>
              <w:jc w:val="center"/>
            </w:pPr>
            <w:r>
              <w:rPr>
                <w:rFonts w:ascii="Arial" w:eastAsia="Arial" w:hAnsi="Arial" w:cs="Arial"/>
                <w:b/>
                <w:bCs/>
                <w:color w:val="FFFFFF"/>
                <w:sz w:val="24"/>
                <w:szCs w:val="24"/>
              </w:rPr>
              <w:t>E</w:t>
            </w:r>
          </w:p>
        </w:tc>
        <w:tc>
          <w:tcPr>
            <w:tcW w:w="9020" w:type="dxa"/>
            <w:tcBorders>
              <w:top w:val="none" w:sz="0" w:space="0" w:color="FFFFFF"/>
              <w:left w:val="none" w:sz="0" w:space="0" w:color="FFFFFF"/>
              <w:bottom w:val="single" w:sz="4" w:space="0" w:color="E0DDD9"/>
              <w:right w:val="none" w:sz="0" w:space="0" w:color="FFFFFF"/>
            </w:tcBorders>
            <w:shd w:val="clear" w:color="auto" w:fill="F5F2EF"/>
            <w:tcMar>
              <w:top w:w="80" w:type="dxa"/>
              <w:left w:w="180" w:type="dxa"/>
              <w:bottom w:w="80" w:type="dxa"/>
              <w:right w:w="120" w:type="dxa"/>
            </w:tcMar>
          </w:tcPr>
          <w:p w:rsidR="009567C9" w:rsidRDefault="006F455E">
            <w:proofErr w:type="gramStart"/>
            <w:r>
              <w:rPr>
                <w:rFonts w:ascii="Arial" w:eastAsia="Arial" w:hAnsi="Arial" w:cs="Arial"/>
                <w:b/>
                <w:bCs/>
                <w:color w:val="36221C"/>
                <w:sz w:val="22"/>
                <w:szCs w:val="22"/>
              </w:rPr>
              <w:t>Excellence</w:t>
            </w:r>
            <w:r>
              <w:rPr>
                <w:rFonts w:ascii="Arial" w:eastAsia="Arial" w:hAnsi="Arial" w:cs="Arial"/>
                <w:color w:val="4C4848"/>
                <w:sz w:val="22"/>
                <w:szCs w:val="22"/>
              </w:rPr>
              <w:t xml:space="preserve">  —</w:t>
            </w:r>
            <w:proofErr w:type="gramEnd"/>
            <w:r>
              <w:rPr>
                <w:rFonts w:ascii="Arial" w:eastAsia="Arial" w:hAnsi="Arial" w:cs="Arial"/>
                <w:color w:val="4C4848"/>
                <w:sz w:val="22"/>
                <w:szCs w:val="22"/>
              </w:rPr>
              <w:t xml:space="preserve">  True excellence is achieved through diligence, responsibility, and an unyielding commitment to clients.</w:t>
            </w:r>
          </w:p>
        </w:tc>
      </w:tr>
    </w:tbl>
    <w:p w:rsidR="009567C9" w:rsidRDefault="006F455E" w:rsidP="00F22B60">
      <w:pPr>
        <w:shd w:val="clear" w:color="auto" w:fill="516984"/>
        <w:spacing w:before="320" w:after="160"/>
      </w:pPr>
      <w:r>
        <w:rPr>
          <w:rFonts w:ascii="Arial" w:eastAsia="Arial" w:hAnsi="Arial" w:cs="Arial"/>
          <w:b/>
          <w:bCs/>
          <w:color w:val="FFFFFF"/>
          <w:sz w:val="26"/>
          <w:szCs w:val="26"/>
        </w:rPr>
        <w:t>05.  WHY PROPERTY AND RENT CONSULT</w:t>
      </w:r>
    </w:p>
    <w:p w:rsidR="009567C9" w:rsidRDefault="009567C9">
      <w:pPr>
        <w:spacing w:before="80"/>
      </w:pPr>
    </w:p>
    <w:tbl>
      <w:tblPr>
        <w:tblW w:w="9820" w:type="dxa"/>
        <w:tblInd w:w="1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800"/>
      </w:tblGrid>
      <w:tr w:rsidR="009567C9" w:rsidTr="00F22B60">
        <w:tblPrEx>
          <w:tblCellMar>
            <w:top w:w="0" w:type="dxa"/>
            <w:bottom w:w="0" w:type="dxa"/>
          </w:tblCellMar>
        </w:tblPrEx>
        <w:tc>
          <w:tcPr>
            <w:tcW w:w="2340" w:type="dxa"/>
            <w:tcBorders>
              <w:top w:val="none" w:sz="0" w:space="0" w:color="FFFFFF"/>
              <w:left w:val="none" w:sz="0" w:space="0" w:color="FFFFFF"/>
              <w:bottom w:val="none" w:sz="0" w:space="0" w:color="FFFFFF"/>
              <w:right w:val="single" w:sz="4" w:space="0" w:color="3D546B"/>
            </w:tcBorders>
            <w:shd w:val="clear" w:color="auto" w:fill="516984"/>
            <w:tcMar>
              <w:top w:w="120" w:type="dxa"/>
              <w:left w:w="160" w:type="dxa"/>
              <w:bottom w:w="120" w:type="dxa"/>
              <w:right w:w="160" w:type="dxa"/>
            </w:tcMar>
          </w:tcPr>
          <w:p w:rsidR="009567C9" w:rsidRDefault="006F455E">
            <w:pPr>
              <w:jc w:val="center"/>
            </w:pPr>
            <w:r>
              <w:rPr>
                <w:rFonts w:ascii="Arial" w:eastAsia="Arial" w:hAnsi="Arial" w:cs="Arial"/>
                <w:b/>
                <w:bCs/>
                <w:color w:val="FFFFFF"/>
                <w:sz w:val="36"/>
                <w:szCs w:val="36"/>
              </w:rPr>
              <w:t>100%</w:t>
            </w:r>
          </w:p>
          <w:p w:rsidR="009567C9" w:rsidRDefault="006F455E">
            <w:pPr>
              <w:jc w:val="center"/>
            </w:pPr>
            <w:r>
              <w:rPr>
                <w:rFonts w:ascii="Arial" w:eastAsia="Arial" w:hAnsi="Arial" w:cs="Arial"/>
                <w:color w:val="D0DDE8"/>
                <w:sz w:val="18"/>
                <w:szCs w:val="18"/>
              </w:rPr>
              <w:t>Digital Delivery</w:t>
            </w:r>
          </w:p>
        </w:tc>
        <w:tc>
          <w:tcPr>
            <w:tcW w:w="2340" w:type="dxa"/>
            <w:tcBorders>
              <w:top w:val="none" w:sz="0" w:space="0" w:color="FFFFFF"/>
              <w:left w:val="none" w:sz="0" w:space="0" w:color="FFFFFF"/>
              <w:bottom w:val="none" w:sz="0" w:space="0" w:color="FFFFFF"/>
              <w:right w:val="single" w:sz="4" w:space="0" w:color="3D546B"/>
            </w:tcBorders>
            <w:shd w:val="clear" w:color="auto" w:fill="516984"/>
            <w:tcMar>
              <w:top w:w="120" w:type="dxa"/>
              <w:left w:w="160" w:type="dxa"/>
              <w:bottom w:w="120" w:type="dxa"/>
              <w:right w:w="160" w:type="dxa"/>
            </w:tcMar>
          </w:tcPr>
          <w:p w:rsidR="009567C9" w:rsidRDefault="006F455E">
            <w:pPr>
              <w:jc w:val="center"/>
            </w:pPr>
            <w:r>
              <w:rPr>
                <w:rFonts w:ascii="Arial" w:eastAsia="Arial" w:hAnsi="Arial" w:cs="Arial"/>
                <w:b/>
                <w:bCs/>
                <w:color w:val="FFFFFF"/>
                <w:sz w:val="36"/>
                <w:szCs w:val="36"/>
              </w:rPr>
              <w:t>34+</w:t>
            </w:r>
          </w:p>
          <w:p w:rsidR="009567C9" w:rsidRDefault="006F455E">
            <w:pPr>
              <w:jc w:val="center"/>
            </w:pPr>
            <w:r>
              <w:rPr>
                <w:rFonts w:ascii="Arial" w:eastAsia="Arial" w:hAnsi="Arial" w:cs="Arial"/>
                <w:color w:val="D0DDE8"/>
                <w:sz w:val="18"/>
                <w:szCs w:val="18"/>
              </w:rPr>
              <w:t>L.I. 369 Forms</w:t>
            </w:r>
          </w:p>
        </w:tc>
        <w:tc>
          <w:tcPr>
            <w:tcW w:w="2340" w:type="dxa"/>
            <w:tcBorders>
              <w:top w:val="none" w:sz="0" w:space="0" w:color="FFFFFF"/>
              <w:left w:val="none" w:sz="0" w:space="0" w:color="FFFFFF"/>
              <w:bottom w:val="none" w:sz="0" w:space="0" w:color="FFFFFF"/>
              <w:right w:val="single" w:sz="4" w:space="0" w:color="3D546B"/>
            </w:tcBorders>
            <w:shd w:val="clear" w:color="auto" w:fill="516984"/>
            <w:tcMar>
              <w:top w:w="120" w:type="dxa"/>
              <w:left w:w="160" w:type="dxa"/>
              <w:bottom w:w="120" w:type="dxa"/>
              <w:right w:w="160" w:type="dxa"/>
            </w:tcMar>
          </w:tcPr>
          <w:p w:rsidR="009567C9" w:rsidRDefault="006F455E">
            <w:pPr>
              <w:jc w:val="center"/>
            </w:pPr>
            <w:r>
              <w:rPr>
                <w:rFonts w:ascii="Arial" w:eastAsia="Arial" w:hAnsi="Arial" w:cs="Arial"/>
                <w:b/>
                <w:bCs/>
                <w:color w:val="FFFFFF"/>
                <w:sz w:val="36"/>
                <w:szCs w:val="36"/>
              </w:rPr>
              <w:t>Act 220</w:t>
            </w:r>
          </w:p>
          <w:p w:rsidR="009567C9" w:rsidRDefault="006F455E">
            <w:pPr>
              <w:jc w:val="center"/>
            </w:pPr>
            <w:r>
              <w:rPr>
                <w:rFonts w:ascii="Arial" w:eastAsia="Arial" w:hAnsi="Arial" w:cs="Arial"/>
                <w:color w:val="D0DDE8"/>
                <w:sz w:val="18"/>
                <w:szCs w:val="18"/>
              </w:rPr>
              <w:t>Compliant Products</w:t>
            </w:r>
          </w:p>
        </w:tc>
        <w:tc>
          <w:tcPr>
            <w:tcW w:w="2800" w:type="dxa"/>
            <w:tcBorders>
              <w:top w:val="none" w:sz="0" w:space="0" w:color="FFFFFF"/>
              <w:left w:val="none" w:sz="0" w:space="0" w:color="FFFFFF"/>
              <w:bottom w:val="none" w:sz="0" w:space="0" w:color="FFFFFF"/>
              <w:right w:val="single" w:sz="4" w:space="0" w:color="3D546B"/>
            </w:tcBorders>
            <w:shd w:val="clear" w:color="auto" w:fill="516984"/>
            <w:tcMar>
              <w:top w:w="120" w:type="dxa"/>
              <w:left w:w="160" w:type="dxa"/>
              <w:bottom w:w="120" w:type="dxa"/>
              <w:right w:w="160" w:type="dxa"/>
            </w:tcMar>
          </w:tcPr>
          <w:p w:rsidR="009567C9" w:rsidRDefault="006F455E">
            <w:pPr>
              <w:jc w:val="center"/>
            </w:pPr>
            <w:r>
              <w:rPr>
                <w:rFonts w:ascii="Arial" w:eastAsia="Arial" w:hAnsi="Arial" w:cs="Arial"/>
                <w:b/>
                <w:bCs/>
                <w:color w:val="FFFFFF"/>
                <w:sz w:val="36"/>
                <w:szCs w:val="36"/>
              </w:rPr>
              <w:t>Ghana-First</w:t>
            </w:r>
          </w:p>
          <w:p w:rsidR="009567C9" w:rsidRDefault="006F455E">
            <w:pPr>
              <w:jc w:val="center"/>
            </w:pPr>
            <w:r>
              <w:rPr>
                <w:rFonts w:ascii="Arial" w:eastAsia="Arial" w:hAnsi="Arial" w:cs="Arial"/>
                <w:color w:val="D0DDE8"/>
                <w:sz w:val="18"/>
                <w:szCs w:val="18"/>
              </w:rPr>
              <w:t>Built for Africa</w:t>
            </w:r>
          </w:p>
        </w:tc>
      </w:tr>
    </w:tbl>
    <w:p w:rsidR="009567C9" w:rsidRDefault="009567C9">
      <w:pPr>
        <w:spacing w:before="160"/>
      </w:pPr>
    </w:p>
    <w:p w:rsidR="009567C9" w:rsidRDefault="006F455E">
      <w:pPr>
        <w:spacing w:before="60" w:after="60"/>
        <w:jc w:val="both"/>
      </w:pPr>
      <w:r>
        <w:rPr>
          <w:rFonts w:ascii="Arial" w:eastAsia="Arial" w:hAnsi="Arial" w:cs="Arial"/>
          <w:color w:val="4C4848"/>
          <w:sz w:val="22"/>
          <w:szCs w:val="22"/>
        </w:rPr>
        <w:t>Our competitive advantage is rooted in deep regulatory expertise combined with modern digital product architecture. Unlike generic property platforms, every product we build is calibrated to Ghana's legal framework, cultural norms, and market realities — i</w:t>
      </w:r>
      <w:r>
        <w:rPr>
          <w:rFonts w:ascii="Arial" w:eastAsia="Arial" w:hAnsi="Arial" w:cs="Arial"/>
          <w:color w:val="4C4848"/>
          <w:sz w:val="22"/>
          <w:szCs w:val="22"/>
        </w:rPr>
        <w:t>ncluding advance rent payment conventions, shared-meter utilities, and the Rent Control Department's procedural requirements.</w:t>
      </w:r>
    </w:p>
    <w:p w:rsidR="009567C9" w:rsidRDefault="009567C9">
      <w:pPr>
        <w:spacing w:before="80"/>
      </w:pPr>
    </w:p>
    <w:p w:rsidR="009567C9" w:rsidRDefault="006F455E">
      <w:pPr>
        <w:pStyle w:val="ListParagraph"/>
        <w:numPr>
          <w:ilvl w:val="0"/>
          <w:numId w:val="2"/>
        </w:numPr>
        <w:spacing w:before="40" w:after="40"/>
      </w:pPr>
      <w:r>
        <w:rPr>
          <w:rFonts w:ascii="Arial" w:eastAsia="Arial" w:hAnsi="Arial" w:cs="Arial"/>
          <w:color w:val="4C4848"/>
          <w:sz w:val="22"/>
          <w:szCs w:val="22"/>
        </w:rPr>
        <w:t>The only digital platform built specifically around Ghana's Rent Act and Rent Regulations</w:t>
      </w:r>
    </w:p>
    <w:p w:rsidR="009567C9" w:rsidRDefault="006F455E">
      <w:pPr>
        <w:pStyle w:val="ListParagraph"/>
        <w:numPr>
          <w:ilvl w:val="0"/>
          <w:numId w:val="2"/>
        </w:numPr>
        <w:spacing w:before="40" w:after="40"/>
      </w:pPr>
      <w:r>
        <w:rPr>
          <w:rFonts w:ascii="Arial" w:eastAsia="Arial" w:hAnsi="Arial" w:cs="Arial"/>
          <w:color w:val="4C4848"/>
          <w:sz w:val="22"/>
          <w:szCs w:val="22"/>
        </w:rPr>
        <w:t>Products designed by practitioners with direct Rent Control Department and property management experience</w:t>
      </w:r>
    </w:p>
    <w:p w:rsidR="009567C9" w:rsidRDefault="006F455E">
      <w:pPr>
        <w:pStyle w:val="ListParagraph"/>
        <w:numPr>
          <w:ilvl w:val="0"/>
          <w:numId w:val="2"/>
        </w:numPr>
        <w:spacing w:before="40" w:after="40"/>
      </w:pPr>
      <w:r>
        <w:rPr>
          <w:rFonts w:ascii="Arial" w:eastAsia="Arial" w:hAnsi="Arial" w:cs="Arial"/>
          <w:color w:val="4C4848"/>
          <w:sz w:val="22"/>
          <w:szCs w:val="22"/>
        </w:rPr>
        <w:t>Affordable subscription and per-use pricing models accessible to individual landlords, SME property managers, and institutional clients</w:t>
      </w:r>
    </w:p>
    <w:p w:rsidR="009567C9" w:rsidRDefault="006F455E">
      <w:pPr>
        <w:pStyle w:val="ListParagraph"/>
        <w:numPr>
          <w:ilvl w:val="0"/>
          <w:numId w:val="2"/>
        </w:numPr>
        <w:spacing w:before="40" w:after="40"/>
      </w:pPr>
      <w:r>
        <w:rPr>
          <w:rFonts w:ascii="Arial" w:eastAsia="Arial" w:hAnsi="Arial" w:cs="Arial"/>
          <w:color w:val="4C4848"/>
          <w:sz w:val="22"/>
          <w:szCs w:val="22"/>
        </w:rPr>
        <w:t>Fully cloud-based — accessible via web browser and mobile device, requiring no local installation</w:t>
      </w:r>
    </w:p>
    <w:p w:rsidR="009567C9" w:rsidRDefault="006F455E">
      <w:pPr>
        <w:pStyle w:val="ListParagraph"/>
        <w:numPr>
          <w:ilvl w:val="0"/>
          <w:numId w:val="2"/>
        </w:numPr>
        <w:spacing w:before="40" w:after="40"/>
      </w:pPr>
      <w:r>
        <w:rPr>
          <w:rFonts w:ascii="Arial" w:eastAsia="Arial" w:hAnsi="Arial" w:cs="Arial"/>
          <w:color w:val="4C4848"/>
          <w:sz w:val="22"/>
          <w:szCs w:val="22"/>
        </w:rPr>
        <w:t>Continuous product updates reflecting regulatory changes and market developments</w:t>
      </w:r>
    </w:p>
    <w:p w:rsidR="009567C9" w:rsidRDefault="006F455E" w:rsidP="00F22B60">
      <w:pPr>
        <w:shd w:val="clear" w:color="auto" w:fill="516984"/>
        <w:spacing w:before="320" w:after="160"/>
      </w:pPr>
      <w:r>
        <w:rPr>
          <w:rFonts w:ascii="Arial" w:eastAsia="Arial" w:hAnsi="Arial" w:cs="Arial"/>
          <w:b/>
          <w:bCs/>
          <w:color w:val="FFFFFF"/>
          <w:sz w:val="26"/>
          <w:szCs w:val="26"/>
        </w:rPr>
        <w:t>06.  TARGET MARKET</w:t>
      </w:r>
    </w:p>
    <w:p w:rsidR="009567C9" w:rsidRDefault="006F455E">
      <w:pPr>
        <w:spacing w:before="60" w:after="60"/>
        <w:jc w:val="both"/>
      </w:pPr>
      <w:r>
        <w:rPr>
          <w:rFonts w:ascii="Arial" w:eastAsia="Arial" w:hAnsi="Arial" w:cs="Arial"/>
          <w:color w:val="4C4848"/>
          <w:sz w:val="22"/>
          <w:szCs w:val="22"/>
        </w:rPr>
        <w:t>Property and Rent Consult serves four primary customer se</w:t>
      </w:r>
      <w:r>
        <w:rPr>
          <w:rFonts w:ascii="Arial" w:eastAsia="Arial" w:hAnsi="Arial" w:cs="Arial"/>
          <w:color w:val="4C4848"/>
          <w:sz w:val="22"/>
          <w:szCs w:val="22"/>
        </w:rPr>
        <w:t>gments across Ghana and the broader West African market:</w:t>
      </w:r>
    </w:p>
    <w:p w:rsidR="009567C9" w:rsidRDefault="009567C9">
      <w:pPr>
        <w:spacing w:before="80"/>
      </w:pPr>
    </w:p>
    <w:tbl>
      <w:tblPr>
        <w:tblW w:w="9820" w:type="dxa"/>
        <w:tblInd w:w="110" w:type="dxa"/>
        <w:tblBorders>
          <w:top w:val="single" w:sz="4" w:space="0" w:color="516984"/>
          <w:left w:val="none" w:sz="0" w:space="0" w:color="FFFFFF"/>
          <w:bottom w:val="single" w:sz="4" w:space="0" w:color="516984"/>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800"/>
      </w:tblGrid>
      <w:tr w:rsidR="009567C9" w:rsidTr="00F22B60">
        <w:tblPrEx>
          <w:tblCellMar>
            <w:top w:w="0" w:type="dxa"/>
            <w:bottom w:w="0" w:type="dxa"/>
          </w:tblCellMar>
        </w:tblPrEx>
        <w:tc>
          <w:tcPr>
            <w:tcW w:w="2340" w:type="dxa"/>
            <w:tcBorders>
              <w:top w:val="none" w:sz="0" w:space="0" w:color="FFFFFF"/>
              <w:left w:val="none" w:sz="0" w:space="0" w:color="FFFFFF"/>
              <w:bottom w:val="none" w:sz="0" w:space="0" w:color="FFFFFF"/>
              <w:right w:val="single" w:sz="4" w:space="0" w:color="3D546B"/>
            </w:tcBorders>
            <w:shd w:val="clear" w:color="auto" w:fill="516984"/>
            <w:tcMar>
              <w:top w:w="80" w:type="dxa"/>
              <w:left w:w="120" w:type="dxa"/>
              <w:bottom w:w="80" w:type="dxa"/>
              <w:right w:w="120" w:type="dxa"/>
            </w:tcMar>
          </w:tcPr>
          <w:p w:rsidR="009567C9" w:rsidRDefault="006F455E">
            <w:pPr>
              <w:jc w:val="center"/>
            </w:pPr>
            <w:r>
              <w:rPr>
                <w:rFonts w:ascii="Arial" w:eastAsia="Arial" w:hAnsi="Arial" w:cs="Arial"/>
                <w:b/>
                <w:bCs/>
                <w:color w:val="FFFFFF"/>
              </w:rPr>
              <w:t>Private Landlords</w:t>
            </w:r>
          </w:p>
        </w:tc>
        <w:tc>
          <w:tcPr>
            <w:tcW w:w="2340" w:type="dxa"/>
            <w:tcBorders>
              <w:top w:val="none" w:sz="0" w:space="0" w:color="FFFFFF"/>
              <w:left w:val="none" w:sz="0" w:space="0" w:color="FFFFFF"/>
              <w:bottom w:val="none" w:sz="0" w:space="0" w:color="FFFFFF"/>
              <w:right w:val="single" w:sz="4" w:space="0" w:color="3D546B"/>
            </w:tcBorders>
            <w:shd w:val="clear" w:color="auto" w:fill="516984"/>
            <w:tcMar>
              <w:top w:w="80" w:type="dxa"/>
              <w:left w:w="120" w:type="dxa"/>
              <w:bottom w:w="80" w:type="dxa"/>
              <w:right w:w="120" w:type="dxa"/>
            </w:tcMar>
          </w:tcPr>
          <w:p w:rsidR="009567C9" w:rsidRDefault="006F455E">
            <w:pPr>
              <w:jc w:val="center"/>
            </w:pPr>
            <w:r>
              <w:rPr>
                <w:rFonts w:ascii="Arial" w:eastAsia="Arial" w:hAnsi="Arial" w:cs="Arial"/>
                <w:b/>
                <w:bCs/>
                <w:color w:val="FFFFFF"/>
              </w:rPr>
              <w:t>Property Managers</w:t>
            </w:r>
          </w:p>
        </w:tc>
        <w:tc>
          <w:tcPr>
            <w:tcW w:w="2340" w:type="dxa"/>
            <w:tcBorders>
              <w:top w:val="none" w:sz="0" w:space="0" w:color="FFFFFF"/>
              <w:left w:val="none" w:sz="0" w:space="0" w:color="FFFFFF"/>
              <w:bottom w:val="none" w:sz="0" w:space="0" w:color="FFFFFF"/>
              <w:right w:val="single" w:sz="4" w:space="0" w:color="3D546B"/>
            </w:tcBorders>
            <w:shd w:val="clear" w:color="auto" w:fill="516984"/>
            <w:tcMar>
              <w:top w:w="80" w:type="dxa"/>
              <w:left w:w="120" w:type="dxa"/>
              <w:bottom w:w="80" w:type="dxa"/>
              <w:right w:w="120" w:type="dxa"/>
            </w:tcMar>
          </w:tcPr>
          <w:p w:rsidR="009567C9" w:rsidRDefault="006F455E">
            <w:pPr>
              <w:jc w:val="center"/>
            </w:pPr>
            <w:r>
              <w:rPr>
                <w:rFonts w:ascii="Arial" w:eastAsia="Arial" w:hAnsi="Arial" w:cs="Arial"/>
                <w:b/>
                <w:bCs/>
                <w:color w:val="FFFFFF"/>
              </w:rPr>
              <w:t>Tenants &amp; Renters</w:t>
            </w:r>
          </w:p>
        </w:tc>
        <w:tc>
          <w:tcPr>
            <w:tcW w:w="2800" w:type="dxa"/>
            <w:tcBorders>
              <w:top w:val="none" w:sz="0" w:space="0" w:color="FFFFFF"/>
              <w:left w:val="none" w:sz="0" w:space="0" w:color="FFFFFF"/>
              <w:bottom w:val="none" w:sz="0" w:space="0" w:color="FFFFFF"/>
              <w:right w:val="single" w:sz="4" w:space="0" w:color="3D546B"/>
            </w:tcBorders>
            <w:shd w:val="clear" w:color="auto" w:fill="516984"/>
            <w:tcMar>
              <w:top w:w="80" w:type="dxa"/>
              <w:left w:w="120" w:type="dxa"/>
              <w:bottom w:w="80" w:type="dxa"/>
              <w:right w:w="120" w:type="dxa"/>
            </w:tcMar>
          </w:tcPr>
          <w:p w:rsidR="009567C9" w:rsidRDefault="006F455E">
            <w:pPr>
              <w:jc w:val="center"/>
            </w:pPr>
            <w:r>
              <w:rPr>
                <w:rFonts w:ascii="Arial" w:eastAsia="Arial" w:hAnsi="Arial" w:cs="Arial"/>
                <w:b/>
                <w:bCs/>
                <w:color w:val="FFFFFF"/>
              </w:rPr>
              <w:t>Investors &amp; Developers</w:t>
            </w:r>
          </w:p>
        </w:tc>
      </w:tr>
      <w:tr w:rsidR="009567C9" w:rsidTr="00F22B60">
        <w:tblPrEx>
          <w:tblCellMar>
            <w:top w:w="0" w:type="dxa"/>
            <w:bottom w:w="0" w:type="dxa"/>
          </w:tblCellMar>
        </w:tblPrEx>
        <w:tc>
          <w:tcPr>
            <w:tcW w:w="2340" w:type="dxa"/>
            <w:tcBorders>
              <w:top w:val="none" w:sz="0" w:space="0" w:color="FFFFFF"/>
              <w:left w:val="none" w:sz="0" w:space="0" w:color="FFFFFF"/>
              <w:bottom w:val="none" w:sz="0" w:space="0" w:color="FFFFFF"/>
              <w:right w:val="single" w:sz="4" w:space="0" w:color="D0D5D9"/>
            </w:tcBorders>
            <w:shd w:val="clear" w:color="auto" w:fill="F5F2EF"/>
            <w:tcMar>
              <w:top w:w="100" w:type="dxa"/>
              <w:left w:w="120" w:type="dxa"/>
              <w:bottom w:w="100" w:type="dxa"/>
              <w:right w:w="120" w:type="dxa"/>
            </w:tcMar>
          </w:tcPr>
          <w:p w:rsidR="009567C9" w:rsidRDefault="006F455E">
            <w:pPr>
              <w:jc w:val="both"/>
            </w:pPr>
            <w:r>
              <w:rPr>
                <w:rFonts w:ascii="Arial" w:eastAsia="Arial" w:hAnsi="Arial" w:cs="Arial"/>
                <w:color w:val="4C4848"/>
                <w:sz w:val="19"/>
                <w:szCs w:val="19"/>
              </w:rPr>
              <w:lastRenderedPageBreak/>
              <w:t>Individual landlords with 1–20 rental units seeking affordable, professional management tools.</w:t>
            </w:r>
          </w:p>
        </w:tc>
        <w:tc>
          <w:tcPr>
            <w:tcW w:w="2340" w:type="dxa"/>
            <w:tcBorders>
              <w:top w:val="none" w:sz="0" w:space="0" w:color="FFFFFF"/>
              <w:left w:val="none" w:sz="0" w:space="0" w:color="FFFFFF"/>
              <w:bottom w:val="none" w:sz="0" w:space="0" w:color="FFFFFF"/>
              <w:right w:val="single" w:sz="4" w:space="0" w:color="D0D5D9"/>
            </w:tcBorders>
            <w:shd w:val="clear" w:color="auto" w:fill="F5F2EF"/>
            <w:tcMar>
              <w:top w:w="100" w:type="dxa"/>
              <w:left w:w="120" w:type="dxa"/>
              <w:bottom w:w="100" w:type="dxa"/>
              <w:right w:w="120" w:type="dxa"/>
            </w:tcMar>
          </w:tcPr>
          <w:p w:rsidR="009567C9" w:rsidRDefault="006F455E">
            <w:pPr>
              <w:jc w:val="both"/>
            </w:pPr>
            <w:r>
              <w:rPr>
                <w:rFonts w:ascii="Arial" w:eastAsia="Arial" w:hAnsi="Arial" w:cs="Arial"/>
                <w:color w:val="4C4848"/>
                <w:sz w:val="19"/>
                <w:szCs w:val="19"/>
              </w:rPr>
              <w:t>Property management firms and independent managers requiring scalable digital infrastructure.</w:t>
            </w:r>
          </w:p>
        </w:tc>
        <w:tc>
          <w:tcPr>
            <w:tcW w:w="2340" w:type="dxa"/>
            <w:tcBorders>
              <w:top w:val="none" w:sz="0" w:space="0" w:color="FFFFFF"/>
              <w:left w:val="none" w:sz="0" w:space="0" w:color="FFFFFF"/>
              <w:bottom w:val="none" w:sz="0" w:space="0" w:color="FFFFFF"/>
              <w:right w:val="single" w:sz="4" w:space="0" w:color="D0D5D9"/>
            </w:tcBorders>
            <w:shd w:val="clear" w:color="auto" w:fill="F5F2EF"/>
            <w:tcMar>
              <w:top w:w="100" w:type="dxa"/>
              <w:left w:w="120" w:type="dxa"/>
              <w:bottom w:w="100" w:type="dxa"/>
              <w:right w:w="120" w:type="dxa"/>
            </w:tcMar>
          </w:tcPr>
          <w:p w:rsidR="009567C9" w:rsidRDefault="006F455E">
            <w:pPr>
              <w:jc w:val="both"/>
            </w:pPr>
            <w:r>
              <w:rPr>
                <w:rFonts w:ascii="Arial" w:eastAsia="Arial" w:hAnsi="Arial" w:cs="Arial"/>
                <w:color w:val="4C4848"/>
                <w:sz w:val="19"/>
                <w:szCs w:val="19"/>
              </w:rPr>
              <w:t>Urban renters seeking to understand their rights, manage their tenancies, and resolve disputes.</w:t>
            </w:r>
          </w:p>
        </w:tc>
        <w:tc>
          <w:tcPr>
            <w:tcW w:w="2800" w:type="dxa"/>
            <w:tcBorders>
              <w:top w:val="none" w:sz="0" w:space="0" w:color="FFFFFF"/>
              <w:left w:val="none" w:sz="0" w:space="0" w:color="FFFFFF"/>
              <w:bottom w:val="none" w:sz="0" w:space="0" w:color="FFFFFF"/>
              <w:right w:val="single" w:sz="4" w:space="0" w:color="D0D5D9"/>
            </w:tcBorders>
            <w:shd w:val="clear" w:color="auto" w:fill="F5F2EF"/>
            <w:tcMar>
              <w:top w:w="100" w:type="dxa"/>
              <w:left w:w="120" w:type="dxa"/>
              <w:bottom w:w="100" w:type="dxa"/>
              <w:right w:w="120" w:type="dxa"/>
            </w:tcMar>
          </w:tcPr>
          <w:p w:rsidR="009567C9" w:rsidRDefault="006F455E">
            <w:pPr>
              <w:jc w:val="both"/>
            </w:pPr>
            <w:r>
              <w:rPr>
                <w:rFonts w:ascii="Arial" w:eastAsia="Arial" w:hAnsi="Arial" w:cs="Arial"/>
                <w:color w:val="4C4848"/>
                <w:sz w:val="19"/>
                <w:szCs w:val="19"/>
              </w:rPr>
              <w:t>Real estate investors and developers requiring appraisal, complian</w:t>
            </w:r>
            <w:r>
              <w:rPr>
                <w:rFonts w:ascii="Arial" w:eastAsia="Arial" w:hAnsi="Arial" w:cs="Arial"/>
                <w:color w:val="4C4848"/>
                <w:sz w:val="19"/>
                <w:szCs w:val="19"/>
              </w:rPr>
              <w:t>ce, and market intelligence tools.</w:t>
            </w:r>
          </w:p>
        </w:tc>
      </w:tr>
    </w:tbl>
    <w:p w:rsidR="009567C9" w:rsidRDefault="006F455E" w:rsidP="00F22B60">
      <w:pPr>
        <w:shd w:val="clear" w:color="auto" w:fill="516984"/>
        <w:spacing w:before="320" w:after="160"/>
      </w:pPr>
      <w:r>
        <w:rPr>
          <w:rFonts w:ascii="Arial" w:eastAsia="Arial" w:hAnsi="Arial" w:cs="Arial"/>
          <w:b/>
          <w:bCs/>
          <w:color w:val="FFFFFF"/>
          <w:sz w:val="26"/>
          <w:szCs w:val="26"/>
        </w:rPr>
        <w:t>07.  BUSINESS MODEL</w:t>
      </w:r>
    </w:p>
    <w:p w:rsidR="009567C9" w:rsidRDefault="006F455E">
      <w:pPr>
        <w:spacing w:before="60" w:after="60"/>
        <w:jc w:val="both"/>
      </w:pPr>
      <w:r>
        <w:rPr>
          <w:rFonts w:ascii="Arial" w:eastAsia="Arial" w:hAnsi="Arial" w:cs="Arial"/>
          <w:color w:val="4C4848"/>
          <w:sz w:val="22"/>
          <w:szCs w:val="22"/>
        </w:rPr>
        <w:t>Property and Rent Consult operates a multi-stream digital revenue model designed for scalability and recurring income:</w:t>
      </w:r>
    </w:p>
    <w:p w:rsidR="009567C9" w:rsidRDefault="006F455E">
      <w:pPr>
        <w:pStyle w:val="ListParagraph"/>
        <w:numPr>
          <w:ilvl w:val="0"/>
          <w:numId w:val="2"/>
        </w:numPr>
        <w:spacing w:before="40" w:after="40"/>
      </w:pPr>
      <w:r>
        <w:rPr>
          <w:rFonts w:ascii="Arial" w:eastAsia="Arial" w:hAnsi="Arial" w:cs="Arial"/>
          <w:color w:val="4C4848"/>
          <w:sz w:val="22"/>
          <w:szCs w:val="22"/>
        </w:rPr>
        <w:t>Subscription Plans — Monthly and annual subscriptions for access to the full product suite, tiered by user type (Individual, Professional, Enterprise)</w:t>
      </w:r>
    </w:p>
    <w:p w:rsidR="009567C9" w:rsidRDefault="006F455E">
      <w:pPr>
        <w:pStyle w:val="ListParagraph"/>
        <w:numPr>
          <w:ilvl w:val="0"/>
          <w:numId w:val="2"/>
        </w:numPr>
        <w:spacing w:before="40" w:after="40"/>
      </w:pPr>
      <w:r>
        <w:rPr>
          <w:rFonts w:ascii="Arial" w:eastAsia="Arial" w:hAnsi="Arial" w:cs="Arial"/>
          <w:color w:val="4C4848"/>
          <w:sz w:val="22"/>
          <w:szCs w:val="22"/>
        </w:rPr>
        <w:t>Pay-Per-Use Products — One-time purchases of individual documents, appraisals, or report outputs</w:t>
      </w:r>
    </w:p>
    <w:p w:rsidR="009567C9" w:rsidRDefault="006F455E">
      <w:pPr>
        <w:pStyle w:val="ListParagraph"/>
        <w:numPr>
          <w:ilvl w:val="0"/>
          <w:numId w:val="2"/>
        </w:numPr>
        <w:spacing w:before="40" w:after="40"/>
      </w:pPr>
      <w:r>
        <w:rPr>
          <w:rFonts w:ascii="Arial" w:eastAsia="Arial" w:hAnsi="Arial" w:cs="Arial"/>
          <w:color w:val="4C4848"/>
          <w:sz w:val="22"/>
          <w:szCs w:val="22"/>
        </w:rPr>
        <w:t>Institut</w:t>
      </w:r>
      <w:r>
        <w:rPr>
          <w:rFonts w:ascii="Arial" w:eastAsia="Arial" w:hAnsi="Arial" w:cs="Arial"/>
          <w:color w:val="4C4848"/>
          <w:sz w:val="22"/>
          <w:szCs w:val="22"/>
        </w:rPr>
        <w:t>ional Licensing — Bulk licensing arrangements for property management firms, legal practices, banks, and government agencies</w:t>
      </w:r>
    </w:p>
    <w:p w:rsidR="009567C9" w:rsidRDefault="006F455E">
      <w:pPr>
        <w:pStyle w:val="ListParagraph"/>
        <w:numPr>
          <w:ilvl w:val="0"/>
          <w:numId w:val="2"/>
        </w:numPr>
        <w:spacing w:before="40" w:after="40"/>
      </w:pPr>
      <w:r>
        <w:rPr>
          <w:rFonts w:ascii="Arial" w:eastAsia="Arial" w:hAnsi="Arial" w:cs="Arial"/>
          <w:color w:val="4C4848"/>
          <w:sz w:val="22"/>
          <w:szCs w:val="22"/>
        </w:rPr>
        <w:t xml:space="preserve">Training &amp; Certification Fees — Revenue from online courses, professional development </w:t>
      </w:r>
      <w:proofErr w:type="spellStart"/>
      <w:r>
        <w:rPr>
          <w:rFonts w:ascii="Arial" w:eastAsia="Arial" w:hAnsi="Arial" w:cs="Arial"/>
          <w:color w:val="4C4848"/>
          <w:sz w:val="22"/>
          <w:szCs w:val="22"/>
        </w:rPr>
        <w:t>programmes</w:t>
      </w:r>
      <w:proofErr w:type="spellEnd"/>
      <w:r>
        <w:rPr>
          <w:rFonts w:ascii="Arial" w:eastAsia="Arial" w:hAnsi="Arial" w:cs="Arial"/>
          <w:color w:val="4C4848"/>
          <w:sz w:val="22"/>
          <w:szCs w:val="22"/>
        </w:rPr>
        <w:t>, and certification examinations</w:t>
      </w:r>
    </w:p>
    <w:p w:rsidR="009567C9" w:rsidRDefault="006F455E">
      <w:pPr>
        <w:pStyle w:val="ListParagraph"/>
        <w:numPr>
          <w:ilvl w:val="0"/>
          <w:numId w:val="2"/>
        </w:numPr>
        <w:spacing w:before="40" w:after="40"/>
      </w:pPr>
      <w:r>
        <w:rPr>
          <w:rFonts w:ascii="Arial" w:eastAsia="Arial" w:hAnsi="Arial" w:cs="Arial"/>
          <w:color w:val="4C4848"/>
          <w:sz w:val="22"/>
          <w:szCs w:val="22"/>
        </w:rPr>
        <w:t>Ad</w:t>
      </w:r>
      <w:r>
        <w:rPr>
          <w:rFonts w:ascii="Arial" w:eastAsia="Arial" w:hAnsi="Arial" w:cs="Arial"/>
          <w:color w:val="4C4848"/>
          <w:sz w:val="22"/>
          <w:szCs w:val="22"/>
        </w:rPr>
        <w:t>vertising &amp; Sponsored Content — Targeted property-related advertising and sponsored regulatory intelligence content within the platform</w:t>
      </w:r>
    </w:p>
    <w:p w:rsidR="009567C9" w:rsidRDefault="006F455E">
      <w:pPr>
        <w:pStyle w:val="ListParagraph"/>
        <w:numPr>
          <w:ilvl w:val="0"/>
          <w:numId w:val="2"/>
        </w:numPr>
        <w:spacing w:before="40" w:after="40"/>
      </w:pPr>
      <w:r>
        <w:rPr>
          <w:rFonts w:ascii="Arial" w:eastAsia="Arial" w:hAnsi="Arial" w:cs="Arial"/>
          <w:color w:val="4C4848"/>
          <w:sz w:val="22"/>
          <w:szCs w:val="22"/>
        </w:rPr>
        <w:t>API Access — Developer API for integration of our rent calculation and document generation engines into third-party plat</w:t>
      </w:r>
      <w:r>
        <w:rPr>
          <w:rFonts w:ascii="Arial" w:eastAsia="Arial" w:hAnsi="Arial" w:cs="Arial"/>
          <w:color w:val="4C4848"/>
          <w:sz w:val="22"/>
          <w:szCs w:val="22"/>
        </w:rPr>
        <w:t>forms</w:t>
      </w:r>
    </w:p>
    <w:p w:rsidR="009567C9" w:rsidRDefault="006F455E" w:rsidP="00F22B60">
      <w:pPr>
        <w:shd w:val="clear" w:color="auto" w:fill="516984"/>
        <w:spacing w:before="320" w:after="160"/>
      </w:pPr>
      <w:r>
        <w:rPr>
          <w:rFonts w:ascii="Arial" w:eastAsia="Arial" w:hAnsi="Arial" w:cs="Arial"/>
          <w:b/>
          <w:bCs/>
          <w:color w:val="FFFFFF"/>
          <w:sz w:val="26"/>
          <w:szCs w:val="26"/>
        </w:rPr>
        <w:t>08.  CONTACT &amp; CONNECT</w:t>
      </w:r>
    </w:p>
    <w:p w:rsidR="009567C9" w:rsidRDefault="009567C9">
      <w:pPr>
        <w:spacing w:before="80"/>
      </w:pPr>
    </w:p>
    <w:tbl>
      <w:tblPr>
        <w:tblW w:w="9820" w:type="dxa"/>
        <w:tblInd w:w="19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5140"/>
      </w:tblGrid>
      <w:tr w:rsidR="009567C9" w:rsidTr="00F22B60">
        <w:tblPrEx>
          <w:tblCellMar>
            <w:top w:w="0" w:type="dxa"/>
            <w:bottom w:w="0" w:type="dxa"/>
          </w:tblCellMar>
        </w:tblPrEx>
        <w:tc>
          <w:tcPr>
            <w:tcW w:w="4680" w:type="dxa"/>
            <w:tcBorders>
              <w:top w:val="single" w:sz="8" w:space="0" w:color="516984"/>
              <w:left w:val="none" w:sz="0" w:space="0" w:color="FFFFFF"/>
              <w:bottom w:val="none" w:sz="0" w:space="0" w:color="FFFFFF"/>
              <w:right w:val="none" w:sz="0" w:space="0" w:color="FFFFFF"/>
            </w:tcBorders>
            <w:shd w:val="clear" w:color="auto" w:fill="F5F2EF"/>
            <w:tcMar>
              <w:top w:w="140" w:type="dxa"/>
              <w:left w:w="200" w:type="dxa"/>
              <w:bottom w:w="140" w:type="dxa"/>
              <w:right w:w="200" w:type="dxa"/>
            </w:tcMar>
          </w:tcPr>
          <w:p w:rsidR="009567C9" w:rsidRDefault="006F455E">
            <w:r>
              <w:rPr>
                <w:rFonts w:ascii="Arial" w:eastAsia="Arial" w:hAnsi="Arial" w:cs="Arial"/>
                <w:b/>
                <w:bCs/>
                <w:color w:val="516984"/>
                <w:sz w:val="22"/>
                <w:szCs w:val="22"/>
              </w:rPr>
              <w:t>Headquarters</w:t>
            </w:r>
          </w:p>
          <w:p w:rsidR="009567C9" w:rsidRDefault="009567C9">
            <w:pPr>
              <w:spacing w:before="40"/>
            </w:pPr>
          </w:p>
          <w:p w:rsidR="009567C9" w:rsidRDefault="006F455E">
            <w:r>
              <w:rPr>
                <w:rFonts w:ascii="Arial" w:eastAsia="Arial" w:hAnsi="Arial" w:cs="Arial"/>
                <w:color w:val="4C4848"/>
                <w:sz w:val="22"/>
                <w:szCs w:val="22"/>
              </w:rPr>
              <w:t>Accra, Ghana</w:t>
            </w:r>
          </w:p>
          <w:p w:rsidR="009567C9" w:rsidRDefault="006F455E">
            <w:r>
              <w:rPr>
                <w:rFonts w:ascii="Arial" w:eastAsia="Arial" w:hAnsi="Arial" w:cs="Arial"/>
                <w:color w:val="4C4848"/>
                <w:sz w:val="22"/>
                <w:szCs w:val="22"/>
              </w:rPr>
              <w:t>Greater Accra Region</w:t>
            </w:r>
          </w:p>
        </w:tc>
        <w:tc>
          <w:tcPr>
            <w:tcW w:w="5140" w:type="dxa"/>
            <w:tcBorders>
              <w:top w:val="single" w:sz="8" w:space="0" w:color="63645A"/>
              <w:left w:val="single" w:sz="4" w:space="0" w:color="D9D5D0"/>
              <w:bottom w:val="none" w:sz="0" w:space="0" w:color="FFFFFF"/>
              <w:right w:val="none" w:sz="0" w:space="0" w:color="FFFFFF"/>
            </w:tcBorders>
            <w:shd w:val="clear" w:color="auto" w:fill="F5F2EF"/>
            <w:tcMar>
              <w:top w:w="140" w:type="dxa"/>
              <w:left w:w="200" w:type="dxa"/>
              <w:bottom w:w="140" w:type="dxa"/>
              <w:right w:w="200" w:type="dxa"/>
            </w:tcMar>
          </w:tcPr>
          <w:p w:rsidR="009567C9" w:rsidRDefault="006F455E">
            <w:r>
              <w:rPr>
                <w:rFonts w:ascii="Arial" w:eastAsia="Arial" w:hAnsi="Arial" w:cs="Arial"/>
                <w:b/>
                <w:bCs/>
                <w:color w:val="63645A"/>
                <w:sz w:val="22"/>
                <w:szCs w:val="22"/>
              </w:rPr>
              <w:t>Digital Channels</w:t>
            </w:r>
          </w:p>
          <w:p w:rsidR="009567C9" w:rsidRDefault="009567C9">
            <w:pPr>
              <w:spacing w:before="40"/>
            </w:pPr>
          </w:p>
          <w:p w:rsidR="009567C9" w:rsidRDefault="006F455E">
            <w:r>
              <w:rPr>
                <w:rFonts w:ascii="Arial" w:eastAsia="Arial" w:hAnsi="Arial" w:cs="Arial"/>
                <w:color w:val="4C4848"/>
                <w:sz w:val="22"/>
                <w:szCs w:val="22"/>
              </w:rPr>
              <w:t>www.propertyandrentconsult.com</w:t>
            </w:r>
          </w:p>
          <w:p w:rsidR="009567C9" w:rsidRDefault="006F455E">
            <w:r>
              <w:rPr>
                <w:rFonts w:ascii="Arial" w:eastAsia="Arial" w:hAnsi="Arial" w:cs="Arial"/>
                <w:color w:val="4C4848"/>
                <w:sz w:val="22"/>
                <w:szCs w:val="22"/>
              </w:rPr>
              <w:t>info@propertyandrentconsult.com</w:t>
            </w:r>
          </w:p>
          <w:p w:rsidR="009567C9" w:rsidRDefault="006F455E">
            <w:r>
              <w:rPr>
                <w:rFonts w:ascii="Arial" w:eastAsia="Arial" w:hAnsi="Arial" w:cs="Arial"/>
                <w:color w:val="4C4848"/>
                <w:sz w:val="22"/>
                <w:szCs w:val="22"/>
              </w:rPr>
              <w:t>@</w:t>
            </w:r>
            <w:proofErr w:type="spellStart"/>
            <w:r>
              <w:rPr>
                <w:rFonts w:ascii="Arial" w:eastAsia="Arial" w:hAnsi="Arial" w:cs="Arial"/>
                <w:color w:val="4C4848"/>
                <w:sz w:val="22"/>
                <w:szCs w:val="22"/>
              </w:rPr>
              <w:t>PropertyRentConsult</w:t>
            </w:r>
            <w:proofErr w:type="spellEnd"/>
          </w:p>
        </w:tc>
      </w:tr>
    </w:tbl>
    <w:p w:rsidR="009567C9" w:rsidRDefault="009567C9">
      <w:pPr>
        <w:spacing w:before="160"/>
      </w:pPr>
    </w:p>
    <w:p w:rsidR="009567C9" w:rsidRDefault="006F455E">
      <w:pPr>
        <w:shd w:val="clear" w:color="auto" w:fill="36221C"/>
        <w:jc w:val="center"/>
      </w:pPr>
      <w:r>
        <w:rPr>
          <w:rFonts w:ascii="Arial" w:eastAsia="Arial" w:hAnsi="Arial" w:cs="Arial"/>
          <w:b/>
          <w:bCs/>
          <w:color w:val="FFFFFF"/>
        </w:rPr>
        <w:t xml:space="preserve">  Property and Rent Consult — Trusted Guidance in Property &amp; Tenancy  </w:t>
      </w:r>
    </w:p>
    <w:sectPr w:rsidR="009567C9">
      <w:headerReference w:type="default" r:id="rId8"/>
      <w:footerReference w:type="default" r:id="rId9"/>
      <w:pgSz w:w="11906" w:h="16838"/>
      <w:pgMar w:top="144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455E" w:rsidRDefault="006F455E">
      <w:r>
        <w:separator/>
      </w:r>
    </w:p>
  </w:endnote>
  <w:endnote w:type="continuationSeparator" w:id="0">
    <w:p w:rsidR="006F455E" w:rsidRDefault="006F4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67C9" w:rsidRDefault="006F455E">
    <w:pPr>
      <w:pBdr>
        <w:top w:val="single" w:sz="4" w:space="1" w:color="63645A"/>
      </w:pBdr>
      <w:spacing w:before="120"/>
    </w:pPr>
    <w:r>
      <w:rPr>
        <w:rFonts w:ascii="Arial" w:eastAsia="Arial" w:hAnsi="Arial" w:cs="Arial"/>
        <w:color w:val="63645A"/>
        <w:sz w:val="18"/>
        <w:szCs w:val="18"/>
      </w:rPr>
      <w:t xml:space="preserve">Property and Rent </w:t>
    </w:r>
    <w:r w:rsidR="007E4EDA">
      <w:rPr>
        <w:rFonts w:ascii="Arial" w:eastAsia="Arial" w:hAnsi="Arial" w:cs="Arial"/>
        <w:color w:val="63645A"/>
        <w:sz w:val="18"/>
        <w:szCs w:val="18"/>
      </w:rPr>
      <w:t>Consult | Digital</w:t>
    </w:r>
    <w:r>
      <w:rPr>
        <w:rFonts w:ascii="Arial" w:eastAsia="Arial" w:hAnsi="Arial" w:cs="Arial"/>
        <w:color w:val="63645A"/>
        <w:sz w:val="18"/>
        <w:szCs w:val="18"/>
      </w:rPr>
      <w:t xml:space="preserve"> Property &amp; Tenancy </w:t>
    </w:r>
    <w:r w:rsidR="007E4EDA">
      <w:rPr>
        <w:rFonts w:ascii="Arial" w:eastAsia="Arial" w:hAnsi="Arial" w:cs="Arial"/>
        <w:color w:val="63645A"/>
        <w:sz w:val="18"/>
        <w:szCs w:val="18"/>
      </w:rPr>
      <w:t>Solutions | Page</w:t>
    </w:r>
    <w:r>
      <w:rPr>
        <w:rFonts w:ascii="Arial" w:eastAsia="Arial" w:hAnsi="Arial" w:cs="Arial"/>
        <w:color w:val="63645A"/>
        <w:sz w:val="18"/>
        <w:szCs w:val="18"/>
      </w:rPr>
      <w:t xml:space="preserve"> </w:t>
    </w:r>
    <w:r>
      <w:rPr>
        <w:rFonts w:ascii="Arial" w:eastAsia="Arial" w:hAnsi="Arial" w:cs="Arial"/>
        <w:color w:val="63645A"/>
        <w:sz w:val="18"/>
        <w:szCs w:val="18"/>
      </w:rPr>
      <w:fldChar w:fldCharType="begin"/>
    </w:r>
    <w:r>
      <w:rPr>
        <w:rFonts w:ascii="Arial" w:eastAsia="Arial" w:hAnsi="Arial" w:cs="Arial"/>
        <w:color w:val="63645A"/>
        <w:sz w:val="18"/>
        <w:szCs w:val="18"/>
      </w:rPr>
      <w:instrText>PAGE</w:instrText>
    </w:r>
    <w:r w:rsidR="007E4EDA">
      <w:rPr>
        <w:rFonts w:ascii="Arial" w:eastAsia="Arial" w:hAnsi="Arial" w:cs="Arial"/>
        <w:color w:val="63645A"/>
        <w:sz w:val="18"/>
        <w:szCs w:val="18"/>
      </w:rPr>
      <w:fldChar w:fldCharType="separate"/>
    </w:r>
    <w:r w:rsidR="00F22B60">
      <w:rPr>
        <w:rFonts w:ascii="Arial" w:eastAsia="Arial" w:hAnsi="Arial" w:cs="Arial"/>
        <w:noProof/>
        <w:color w:val="63645A"/>
        <w:sz w:val="18"/>
        <w:szCs w:val="18"/>
      </w:rPr>
      <w:t>1</w:t>
    </w:r>
    <w:r>
      <w:rPr>
        <w:rFonts w:ascii="Arial" w:eastAsia="Arial" w:hAnsi="Arial" w:cs="Arial"/>
        <w:color w:val="63645A"/>
        <w:sz w:val="18"/>
        <w:szCs w:val="18"/>
      </w:rPr>
      <w:fldChar w:fldCharType="end"/>
    </w:r>
    <w:r>
      <w:rPr>
        <w:rFonts w:ascii="Arial" w:eastAsia="Arial" w:hAnsi="Arial" w:cs="Arial"/>
        <w:color w:val="63645A"/>
        <w:sz w:val="18"/>
        <w:szCs w:val="18"/>
      </w:rPr>
      <w:t xml:space="preserve"> of </w:t>
    </w:r>
    <w:r>
      <w:rPr>
        <w:rFonts w:ascii="Arial" w:eastAsia="Arial" w:hAnsi="Arial" w:cs="Arial"/>
        <w:color w:val="63645A"/>
        <w:sz w:val="18"/>
        <w:szCs w:val="18"/>
      </w:rPr>
      <w:fldChar w:fldCharType="begin"/>
    </w:r>
    <w:r>
      <w:rPr>
        <w:rFonts w:ascii="Arial" w:eastAsia="Arial" w:hAnsi="Arial" w:cs="Arial"/>
        <w:color w:val="63645A"/>
        <w:sz w:val="18"/>
        <w:szCs w:val="18"/>
      </w:rPr>
      <w:instrText>NUMPAGES</w:instrText>
    </w:r>
    <w:r w:rsidR="007E4EDA">
      <w:rPr>
        <w:rFonts w:ascii="Arial" w:eastAsia="Arial" w:hAnsi="Arial" w:cs="Arial"/>
        <w:color w:val="63645A"/>
        <w:sz w:val="18"/>
        <w:szCs w:val="18"/>
      </w:rPr>
      <w:fldChar w:fldCharType="separate"/>
    </w:r>
    <w:r w:rsidR="00F22B60">
      <w:rPr>
        <w:rFonts w:ascii="Arial" w:eastAsia="Arial" w:hAnsi="Arial" w:cs="Arial"/>
        <w:noProof/>
        <w:color w:val="63645A"/>
        <w:sz w:val="18"/>
        <w:szCs w:val="18"/>
      </w:rPr>
      <w:t>4</w:t>
    </w:r>
    <w:r>
      <w:rPr>
        <w:rFonts w:ascii="Arial" w:eastAsia="Arial" w:hAnsi="Arial" w:cs="Arial"/>
        <w:color w:val="63645A"/>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455E" w:rsidRDefault="006F455E">
      <w:r>
        <w:separator/>
      </w:r>
    </w:p>
  </w:footnote>
  <w:footnote w:type="continuationSeparator" w:id="0">
    <w:p w:rsidR="006F455E" w:rsidRDefault="006F455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ED151B"/>
    <w:multiLevelType w:val="hybridMultilevel"/>
    <w:tmpl w:val="A6EE7112"/>
    <w:lvl w:ilvl="0" w:tplc="5A1A29F8">
      <w:start w:val="1"/>
      <w:numFmt w:val="bullet"/>
      <w:lvlText w:val="●"/>
      <w:lvlJc w:val="left"/>
      <w:pPr>
        <w:ind w:left="720" w:hanging="360"/>
      </w:pPr>
    </w:lvl>
    <w:lvl w:ilvl="1" w:tplc="85405002">
      <w:start w:val="1"/>
      <w:numFmt w:val="bullet"/>
      <w:lvlText w:val="○"/>
      <w:lvlJc w:val="left"/>
      <w:pPr>
        <w:ind w:left="1440" w:hanging="360"/>
      </w:pPr>
    </w:lvl>
    <w:lvl w:ilvl="2" w:tplc="C762B748">
      <w:start w:val="1"/>
      <w:numFmt w:val="bullet"/>
      <w:lvlText w:val="■"/>
      <w:lvlJc w:val="left"/>
      <w:pPr>
        <w:ind w:left="2160" w:hanging="360"/>
      </w:pPr>
    </w:lvl>
    <w:lvl w:ilvl="3" w:tplc="D68AF3DC">
      <w:start w:val="1"/>
      <w:numFmt w:val="bullet"/>
      <w:lvlText w:val="●"/>
      <w:lvlJc w:val="left"/>
      <w:pPr>
        <w:ind w:left="2880" w:hanging="360"/>
      </w:pPr>
    </w:lvl>
    <w:lvl w:ilvl="4" w:tplc="DE4CA31E">
      <w:start w:val="1"/>
      <w:numFmt w:val="bullet"/>
      <w:lvlText w:val="○"/>
      <w:lvlJc w:val="left"/>
      <w:pPr>
        <w:ind w:left="3600" w:hanging="360"/>
      </w:pPr>
    </w:lvl>
    <w:lvl w:ilvl="5" w:tplc="52CCDDDE">
      <w:start w:val="1"/>
      <w:numFmt w:val="bullet"/>
      <w:lvlText w:val="■"/>
      <w:lvlJc w:val="left"/>
      <w:pPr>
        <w:ind w:left="4320" w:hanging="360"/>
      </w:pPr>
    </w:lvl>
    <w:lvl w:ilvl="6" w:tplc="1194C670">
      <w:start w:val="1"/>
      <w:numFmt w:val="bullet"/>
      <w:lvlText w:val="●"/>
      <w:lvlJc w:val="left"/>
      <w:pPr>
        <w:ind w:left="5040" w:hanging="360"/>
      </w:pPr>
    </w:lvl>
    <w:lvl w:ilvl="7" w:tplc="632282E0">
      <w:start w:val="1"/>
      <w:numFmt w:val="bullet"/>
      <w:lvlText w:val="●"/>
      <w:lvlJc w:val="left"/>
      <w:pPr>
        <w:ind w:left="5760" w:hanging="360"/>
      </w:pPr>
    </w:lvl>
    <w:lvl w:ilvl="8" w:tplc="72F0E6B4">
      <w:start w:val="1"/>
      <w:numFmt w:val="bullet"/>
      <w:lvlText w:val="●"/>
      <w:lvlJc w:val="left"/>
      <w:pPr>
        <w:ind w:left="6480" w:hanging="360"/>
      </w:pPr>
    </w:lvl>
  </w:abstractNum>
  <w:abstractNum w:abstractNumId="1">
    <w:nsid w:val="1B054321"/>
    <w:multiLevelType w:val="hybridMultilevel"/>
    <w:tmpl w:val="3AB2433A"/>
    <w:lvl w:ilvl="0" w:tplc="5C84911E">
      <w:start w:val="1"/>
      <w:numFmt w:val="bullet"/>
      <w:lvlText w:val="•"/>
      <w:lvlJc w:val="left"/>
      <w:pPr>
        <w:ind w:left="540" w:hanging="270"/>
      </w:pPr>
      <w:rPr>
        <w:color w:val="516984"/>
      </w:rPr>
    </w:lvl>
    <w:lvl w:ilvl="1" w:tplc="C90C463A">
      <w:numFmt w:val="decimal"/>
      <w:lvlText w:val=""/>
      <w:lvlJc w:val="left"/>
    </w:lvl>
    <w:lvl w:ilvl="2" w:tplc="77825B1A">
      <w:numFmt w:val="decimal"/>
      <w:lvlText w:val=""/>
      <w:lvlJc w:val="left"/>
    </w:lvl>
    <w:lvl w:ilvl="3" w:tplc="8A2C1C20">
      <w:numFmt w:val="decimal"/>
      <w:lvlText w:val=""/>
      <w:lvlJc w:val="left"/>
    </w:lvl>
    <w:lvl w:ilvl="4" w:tplc="7F625C58">
      <w:numFmt w:val="decimal"/>
      <w:lvlText w:val=""/>
      <w:lvlJc w:val="left"/>
    </w:lvl>
    <w:lvl w:ilvl="5" w:tplc="1F08EF2E">
      <w:numFmt w:val="decimal"/>
      <w:lvlText w:val=""/>
      <w:lvlJc w:val="left"/>
    </w:lvl>
    <w:lvl w:ilvl="6" w:tplc="5CCEE176">
      <w:numFmt w:val="decimal"/>
      <w:lvlText w:val=""/>
      <w:lvlJc w:val="left"/>
    </w:lvl>
    <w:lvl w:ilvl="7" w:tplc="F66E5FE6">
      <w:numFmt w:val="decimal"/>
      <w:lvlText w:val=""/>
      <w:lvlJc w:val="left"/>
    </w:lvl>
    <w:lvl w:ilvl="8" w:tplc="66E6044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9567C9"/>
    <w:rsid w:val="006F455E"/>
    <w:rsid w:val="007E4EDA"/>
    <w:rsid w:val="009567C9"/>
    <w:rsid w:val="00F22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E4EDA"/>
    <w:pPr>
      <w:tabs>
        <w:tab w:val="center" w:pos="4680"/>
        <w:tab w:val="right" w:pos="9360"/>
      </w:tabs>
    </w:pPr>
  </w:style>
  <w:style w:type="character" w:customStyle="1" w:styleId="HeaderChar">
    <w:name w:val="Header Char"/>
    <w:basedOn w:val="DefaultParagraphFont"/>
    <w:link w:val="Header"/>
    <w:uiPriority w:val="99"/>
    <w:rsid w:val="007E4EDA"/>
  </w:style>
  <w:style w:type="paragraph" w:styleId="Footer">
    <w:name w:val="footer"/>
    <w:basedOn w:val="Normal"/>
    <w:link w:val="FooterChar"/>
    <w:uiPriority w:val="99"/>
    <w:unhideWhenUsed/>
    <w:rsid w:val="007E4EDA"/>
    <w:pPr>
      <w:tabs>
        <w:tab w:val="center" w:pos="4680"/>
        <w:tab w:val="right" w:pos="9360"/>
      </w:tabs>
    </w:pPr>
  </w:style>
  <w:style w:type="character" w:customStyle="1" w:styleId="FooterChar">
    <w:name w:val="Footer Char"/>
    <w:basedOn w:val="DefaultParagraphFont"/>
    <w:link w:val="Footer"/>
    <w:uiPriority w:val="99"/>
    <w:rsid w:val="007E4ED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E4EDA"/>
    <w:pPr>
      <w:tabs>
        <w:tab w:val="center" w:pos="4680"/>
        <w:tab w:val="right" w:pos="9360"/>
      </w:tabs>
    </w:pPr>
  </w:style>
  <w:style w:type="character" w:customStyle="1" w:styleId="HeaderChar">
    <w:name w:val="Header Char"/>
    <w:basedOn w:val="DefaultParagraphFont"/>
    <w:link w:val="Header"/>
    <w:uiPriority w:val="99"/>
    <w:rsid w:val="007E4EDA"/>
  </w:style>
  <w:style w:type="paragraph" w:styleId="Footer">
    <w:name w:val="footer"/>
    <w:basedOn w:val="Normal"/>
    <w:link w:val="FooterChar"/>
    <w:uiPriority w:val="99"/>
    <w:unhideWhenUsed/>
    <w:rsid w:val="007E4EDA"/>
    <w:pPr>
      <w:tabs>
        <w:tab w:val="center" w:pos="4680"/>
        <w:tab w:val="right" w:pos="9360"/>
      </w:tabs>
    </w:pPr>
  </w:style>
  <w:style w:type="character" w:customStyle="1" w:styleId="FooterChar">
    <w:name w:val="Footer Char"/>
    <w:basedOn w:val="DefaultParagraphFont"/>
    <w:link w:val="Footer"/>
    <w:uiPriority w:val="99"/>
    <w:rsid w:val="007E4E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1297</Words>
  <Characters>7396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2026-06-01T18:18:00Z</dcterms:created>
  <dcterms:modified xsi:type="dcterms:W3CDTF">2026-06-02T02:36:00Z</dcterms:modified>
</cp:coreProperties>
</file>