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20" w:type="dxa"/>
        <w:tblInd w:w="-10" w:type="dxa"/>
        <w:tblBorders>
          <w:top w:val="none" w:sz="0" w:space="0" w:color="FFFFFF"/>
          <w:left w:val="none" w:sz="0" w:space="0" w:color="FFFFFF"/>
          <w:bottom w:val="single" w:sz="6" w:space="0" w:color="516984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5"/>
        <w:gridCol w:w="4615"/>
      </w:tblGrid>
      <w:tr w:rsidR="002374B5" w:rsidTr="002374B5">
        <w:tblPrEx>
          <w:tblCellMar>
            <w:top w:w="0" w:type="dxa"/>
            <w:bottom w:w="0" w:type="dxa"/>
          </w:tblCellMar>
        </w:tblPrEx>
        <w:tc>
          <w:tcPr>
            <w:tcW w:w="52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tbl>
            <w:tblPr>
              <w:tblW w:w="52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00"/>
              <w:gridCol w:w="2900"/>
            </w:tblGrid>
            <w:tr w:rsidR="002374B5" w:rsidTr="00411ED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00" w:type="dxa"/>
                  <w:tcBorders>
                    <w:top w:val="single" w:sz="4" w:space="0" w:color="36221C"/>
                    <w:left w:val="single" w:sz="4" w:space="0" w:color="36221C"/>
                    <w:bottom w:val="single" w:sz="4" w:space="0" w:color="36221C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:rsidR="002374B5" w:rsidRDefault="002374B5" w:rsidP="00411EDD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36221C"/>
                      <w:sz w:val="18"/>
                      <w:szCs w:val="18"/>
                    </w:rPr>
                    <w:t>PROPERTY AND</w:t>
                  </w:r>
                </w:p>
              </w:tc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16984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</w:tcPr>
                <w:p w:rsidR="002374B5" w:rsidRDefault="002374B5" w:rsidP="00411EDD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FFFFFF"/>
                      <w:sz w:val="18"/>
                      <w:szCs w:val="18"/>
                    </w:rPr>
                    <w:t>RENT CONSULT</w:t>
                  </w:r>
                </w:p>
              </w:tc>
            </w:tr>
          </w:tbl>
          <w:p w:rsidR="002374B5" w:rsidRDefault="002374B5" w:rsidP="00411EDD">
            <w:pPr>
              <w:spacing w:before="40"/>
            </w:pPr>
            <w:r>
              <w:rPr>
                <w:rFonts w:ascii="Arial" w:eastAsia="Arial" w:hAnsi="Arial" w:cs="Arial"/>
                <w:color w:val="63645A"/>
                <w:sz w:val="16"/>
                <w:szCs w:val="16"/>
              </w:rPr>
              <w:t>TRUSTED GUIDANCE IN PROPERTY &amp; TENANCY</w:t>
            </w:r>
          </w:p>
        </w:tc>
        <w:tc>
          <w:tcPr>
            <w:tcW w:w="46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:rsidR="002374B5" w:rsidRDefault="002374B5" w:rsidP="00411ED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516984"/>
              </w:rPr>
              <w:t>PRODUCT CATALOGUE</w:t>
            </w:r>
          </w:p>
          <w:p w:rsidR="002374B5" w:rsidRDefault="002374B5" w:rsidP="00411EDD">
            <w:pPr>
              <w:jc w:val="right"/>
            </w:pPr>
            <w:r>
              <w:rPr>
                <w:rFonts w:ascii="Arial" w:eastAsia="Arial" w:hAnsi="Arial" w:cs="Arial"/>
                <w:color w:val="4C4848"/>
                <w:sz w:val="18"/>
                <w:szCs w:val="18"/>
              </w:rPr>
              <w:t>2025 Edition</w:t>
            </w:r>
          </w:p>
        </w:tc>
      </w:tr>
    </w:tbl>
    <w:p w:rsidR="00595468" w:rsidRDefault="00DC42C5">
      <w:pPr>
        <w:shd w:val="clear" w:color="auto" w:fill="36221C"/>
      </w:pPr>
      <w:r>
        <w:rPr>
          <w:rFonts w:ascii="Arial" w:eastAsia="Arial" w:hAnsi="Arial" w:cs="Arial"/>
          <w:b/>
          <w:bCs/>
          <w:color w:val="FFFFFF"/>
          <w:sz w:val="38"/>
          <w:szCs w:val="38"/>
        </w:rPr>
        <w:t xml:space="preserve">  PRODUCT CATALOGUE</w:t>
      </w:r>
    </w:p>
    <w:p w:rsidR="00595468" w:rsidRDefault="00DC42C5">
      <w:pPr>
        <w:shd w:val="clear" w:color="auto" w:fill="516984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Digital Rent &amp; Property Solutions — 2025 Edition</w:t>
      </w:r>
    </w:p>
    <w:p w:rsidR="00595468" w:rsidRDefault="00DC42C5">
      <w:pPr>
        <w:shd w:val="clear" w:color="auto" w:fill="63645A"/>
        <w:spacing w:after="280"/>
      </w:pPr>
      <w:r>
        <w:rPr>
          <w:rFonts w:ascii="Arial" w:eastAsia="Arial" w:hAnsi="Arial" w:cs="Arial"/>
          <w:b/>
          <w:bCs/>
          <w:color w:val="FFFFFF"/>
          <w:sz w:val="19"/>
          <w:szCs w:val="19"/>
        </w:rPr>
        <w:t xml:space="preserve">  17 </w:t>
      </w:r>
      <w:proofErr w:type="gramStart"/>
      <w:r>
        <w:rPr>
          <w:rFonts w:ascii="Arial" w:eastAsia="Arial" w:hAnsi="Arial" w:cs="Arial"/>
          <w:b/>
          <w:bCs/>
          <w:color w:val="FFFFFF"/>
          <w:sz w:val="19"/>
          <w:szCs w:val="19"/>
        </w:rPr>
        <w:t>P</w:t>
      </w:r>
      <w:bookmarkStart w:id="0" w:name="_GoBack"/>
      <w:bookmarkEnd w:id="0"/>
      <w:r>
        <w:rPr>
          <w:rFonts w:ascii="Arial" w:eastAsia="Arial" w:hAnsi="Arial" w:cs="Arial"/>
          <w:b/>
          <w:bCs/>
          <w:color w:val="FFFFFF"/>
          <w:sz w:val="19"/>
          <w:szCs w:val="19"/>
        </w:rPr>
        <w:t>roducts  |</w:t>
      </w:r>
      <w:proofErr w:type="gramEnd"/>
      <w:r>
        <w:rPr>
          <w:rFonts w:ascii="Arial" w:eastAsia="Arial" w:hAnsi="Arial" w:cs="Arial"/>
          <w:b/>
          <w:bCs/>
          <w:color w:val="FFFFFF"/>
          <w:sz w:val="19"/>
          <w:szCs w:val="19"/>
        </w:rPr>
        <w:t xml:space="preserve">  5 Categories  |  Ghana-First  |  Act 220 Compliant</w:t>
      </w:r>
    </w:p>
    <w:tbl>
      <w:tblPr>
        <w:tblW w:w="9820" w:type="dxa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80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3D546B"/>
            </w:tcBorders>
            <w:shd w:val="clear" w:color="auto" w:fill="51698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17</w:t>
            </w:r>
          </w:p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color w:val="C8D8E8"/>
                <w:sz w:val="18"/>
                <w:szCs w:val="18"/>
              </w:rPr>
              <w:t>Total products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3D546B"/>
            </w:tcBorders>
            <w:shd w:val="clear" w:color="auto" w:fill="51698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5</w:t>
            </w:r>
          </w:p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color w:val="C8D8E8"/>
                <w:sz w:val="18"/>
                <w:szCs w:val="18"/>
              </w:rPr>
              <w:t>Categories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3D546B"/>
            </w:tcBorders>
            <w:shd w:val="clear" w:color="auto" w:fill="51698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Act 220</w:t>
            </w:r>
          </w:p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color w:val="C8D8E8"/>
                <w:sz w:val="18"/>
                <w:szCs w:val="18"/>
              </w:rPr>
              <w:t>Ghana compliant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3D546B"/>
            </w:tcBorders>
            <w:shd w:val="clear" w:color="auto" w:fill="516984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100%</w:t>
            </w:r>
          </w:p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color w:val="C8D8E8"/>
                <w:sz w:val="18"/>
                <w:szCs w:val="18"/>
              </w:rPr>
              <w:t>Digital delivery</w:t>
            </w:r>
          </w:p>
        </w:tc>
      </w:tr>
    </w:tbl>
    <w:p w:rsidR="00595468" w:rsidRDefault="00595468">
      <w:pPr>
        <w:spacing w:before="200"/>
      </w:pPr>
    </w:p>
    <w:tbl>
      <w:tblPr>
        <w:tblW w:w="9820" w:type="dxa"/>
        <w:tblInd w:w="1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226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single" w:sz="12" w:space="0" w:color="516984"/>
              <w:bottom w:val="none" w:sz="0" w:space="0" w:color="FFFFFF"/>
              <w:right w:val="none" w:sz="0" w:space="0" w:color="FFFFFF"/>
            </w:tcBorders>
            <w:shd w:val="clear" w:color="auto" w:fill="EEF3F7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36221C"/>
                <w:sz w:val="24"/>
                <w:szCs w:val="24"/>
              </w:rPr>
              <w:t>Document Templates</w:t>
            </w:r>
          </w:p>
        </w:tc>
        <w:tc>
          <w:tcPr>
            <w:tcW w:w="2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1698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5 products</w:t>
            </w:r>
          </w:p>
        </w:tc>
      </w:tr>
    </w:tbl>
    <w:p w:rsidR="00595468" w:rsidRDefault="00595468">
      <w:pPr>
        <w:spacing w:before="8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16984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EEF3F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516984"/>
                <w:sz w:val="19"/>
                <w:szCs w:val="19"/>
              </w:rPr>
              <w:t xml:space="preserve">[Tenancy &amp; Lease]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Tenancy &amp; Lease Agreements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Fully drafted tenancy agreements for residential and commercial properties, including room-by-room, apartment, and house lease templates. All compliant with the Rent Act, 1963 (Act 220) of Ghana.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16984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EEF3F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516984"/>
                <w:sz w:val="19"/>
                <w:szCs w:val="19"/>
              </w:rPr>
              <w:t xml:space="preserve">[Legal Notices]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Legal Notices &amp; Eviction Documents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Quit notices, demand letters, eviction notices, notices of rent arrears, and recovery of possession documents — ready to personalise and serve.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16984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EEF3F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516984"/>
                <w:sz w:val="19"/>
                <w:szCs w:val="19"/>
              </w:rPr>
              <w:t xml:space="preserve">[Inspection]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Inspection &amp; Compliance Forms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Move-in and m</w:t>
            </w:r>
            <w:r>
              <w:rPr>
                <w:rFonts w:ascii="Arial" w:eastAsia="Arial" w:hAnsi="Arial" w:cs="Arial"/>
                <w:color w:val="4C4848"/>
              </w:rPr>
              <w:t>ove-out checklists, routine inspection forms, and condition reports for landlords and property managers.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16984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EEF3F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516984"/>
                <w:sz w:val="19"/>
                <w:szCs w:val="19"/>
              </w:rPr>
              <w:t xml:space="preserve">[Finance]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Financial &amp; Rent Documents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Rent increase notices, payment receipts, rent statements, service charge schedules, utility billing templates, and shared water bill calculators.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16984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EEF3F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516984"/>
                <w:sz w:val="19"/>
                <w:szCs w:val="19"/>
              </w:rPr>
              <w:t xml:space="preserve">[Partnerships]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Proposals &amp; Partnership Documents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Investment proposals, property onboarding proposals, spon</w:t>
            </w:r>
            <w:r>
              <w:rPr>
                <w:rFonts w:ascii="Arial" w:eastAsia="Arial" w:hAnsi="Arial" w:cs="Arial"/>
                <w:color w:val="4C4848"/>
              </w:rPr>
              <w:t>sorship documents, and memoranda of understanding for property partnerships.</w:t>
            </w:r>
          </w:p>
        </w:tc>
      </w:tr>
    </w:tbl>
    <w:p w:rsidR="00595468" w:rsidRDefault="00595468">
      <w:pPr>
        <w:spacing w:before="200"/>
      </w:pPr>
    </w:p>
    <w:tbl>
      <w:tblPr>
        <w:tblW w:w="9820" w:type="dxa"/>
        <w:tblInd w:w="1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226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single" w:sz="12" w:space="0" w:color="4C4848"/>
              <w:bottom w:val="none" w:sz="0" w:space="0" w:color="FFFFFF"/>
              <w:right w:val="none" w:sz="0" w:space="0" w:color="FFFFFF"/>
            </w:tcBorders>
            <w:shd w:val="clear" w:color="auto" w:fill="F0EEF5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36221C"/>
                <w:sz w:val="24"/>
                <w:szCs w:val="24"/>
              </w:rPr>
              <w:t>Rent &amp; Tenancy Tools</w:t>
            </w:r>
          </w:p>
        </w:tc>
        <w:tc>
          <w:tcPr>
            <w:tcW w:w="2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484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4 products</w:t>
            </w:r>
          </w:p>
        </w:tc>
      </w:tr>
    </w:tbl>
    <w:p w:rsidR="00595468" w:rsidRDefault="00595468">
      <w:pPr>
        <w:spacing w:before="8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4848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F0EEF5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4C4848"/>
                <w:sz w:val="19"/>
                <w:szCs w:val="19"/>
              </w:rPr>
              <w:t xml:space="preserve">[Calculator]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Rent Calculator Pro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An interactive digital tool that computes advance rent, monthly equivalents, tenancy expiry dates, and prorated amounts — fully calibrated for Ghana's advance rent payment norms and the anniversary-cycle tenancy model.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4848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F0EEF5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4C4848"/>
                <w:sz w:val="19"/>
                <w:szCs w:val="19"/>
              </w:rPr>
              <w:t xml:space="preserve">[Automation]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Tenancy Agreement Generator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An automated document generator that produces legally compliant, customisable tenancy agreements anchored in the Rent Act (Act 220) and Rent Regulations (L.I. 369), exportable as PDF or DOCX.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4848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F0EEF5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4C4848"/>
                <w:sz w:val="19"/>
                <w:szCs w:val="19"/>
              </w:rPr>
              <w:t xml:space="preserve">[Tracking]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Rent Arrears Tracker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 digital arrears monitoring and notification tool for landlords and property managers — tracking overdue rent, generating demand notices, and maintaining a full audit trail for regulatory proceedings.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C4848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F0EEF5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4C4848"/>
                <w:sz w:val="19"/>
                <w:szCs w:val="19"/>
              </w:rPr>
              <w:t xml:space="preserve">[Regulatory]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Rent Control Form Suite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 complete digital library of all 34 official forms under L.I. 369 — fillable, printable, and pre-populated where applicable — covering complaints, summons, notices, and referrals.</w:t>
            </w:r>
          </w:p>
        </w:tc>
      </w:tr>
    </w:tbl>
    <w:p w:rsidR="00595468" w:rsidRDefault="00595468">
      <w:pPr>
        <w:spacing w:before="200"/>
      </w:pPr>
    </w:p>
    <w:tbl>
      <w:tblPr>
        <w:tblW w:w="9820" w:type="dxa"/>
        <w:tblInd w:w="1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226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single" w:sz="12" w:space="0" w:color="3B6D11"/>
              <w:bottom w:val="none" w:sz="0" w:space="0" w:color="FFFFFF"/>
              <w:right w:val="none" w:sz="0" w:space="0" w:color="FFFFFF"/>
            </w:tcBorders>
            <w:shd w:val="clear" w:color="auto" w:fill="EDF2EE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36221C"/>
                <w:sz w:val="24"/>
                <w:szCs w:val="24"/>
              </w:rPr>
              <w:t>Property Management Systems</w:t>
            </w:r>
          </w:p>
        </w:tc>
        <w:tc>
          <w:tcPr>
            <w:tcW w:w="2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4 products</w:t>
            </w:r>
          </w:p>
        </w:tc>
      </w:tr>
    </w:tbl>
    <w:p w:rsidR="00595468" w:rsidRDefault="00595468">
      <w:pPr>
        <w:spacing w:before="8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EDF2EE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3B6D11"/>
                <w:sz w:val="19"/>
                <w:szCs w:val="19"/>
              </w:rPr>
              <w:t xml:space="preserve">[Cloud]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Property Register Digital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 cloud-based property portfolio register enabling landlords and property managers to maintain structured records of properties, units, tenants, maintenance history, and income — accessible from any device.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EDF2EE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3B6D11"/>
                <w:sz w:val="19"/>
                <w:szCs w:val="19"/>
              </w:rPr>
              <w:t xml:space="preserve">[Operations]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Maintenance Request System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 digital maintenance logging and tracking platform connecting tenants to landlords and contractors — with status updates, cost tracking, and a complete photographic record of all works completed.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EDF2EE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3B6D11"/>
                <w:sz w:val="19"/>
                <w:szCs w:val="19"/>
              </w:rPr>
              <w:t xml:space="preserve">[Portal]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Landlord-Tenant Por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tal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 secure communication and document-sharing portal enabling landlords and tenants to exchange notices, receipts, agreements, and correspondence — with read receipts and timestamped audit logs.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EDF2EE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3B6D11"/>
                <w:sz w:val="19"/>
                <w:szCs w:val="19"/>
              </w:rPr>
              <w:t xml:space="preserve">[Compliance]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Property Compliance Toolkit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 digital compliance kit equipping landlords with the tools, templates, and knowledge to operate within Ghana's regulatory framework — covering rent reviews, notice periods, and statutory obligations.</w:t>
            </w:r>
          </w:p>
        </w:tc>
      </w:tr>
    </w:tbl>
    <w:p w:rsidR="00595468" w:rsidRDefault="00595468">
      <w:pPr>
        <w:spacing w:before="200"/>
      </w:pPr>
    </w:p>
    <w:tbl>
      <w:tblPr>
        <w:tblW w:w="9820" w:type="dxa"/>
        <w:tblInd w:w="19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226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single" w:sz="12" w:space="0" w:color="854F0B"/>
              <w:bottom w:val="none" w:sz="0" w:space="0" w:color="FFFFFF"/>
              <w:right w:val="none" w:sz="0" w:space="0" w:color="FFFFFF"/>
            </w:tcBorders>
            <w:shd w:val="clear" w:color="auto" w:fill="FDF3EC"/>
            <w:tcMar>
              <w:top w:w="100" w:type="dxa"/>
              <w:left w:w="200" w:type="dxa"/>
              <w:bottom w:w="100" w:type="dxa"/>
              <w:right w:w="10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36221C"/>
                <w:sz w:val="24"/>
                <w:szCs w:val="24"/>
              </w:rPr>
              <w:t>Advisory &amp; Education Products</w:t>
            </w:r>
          </w:p>
        </w:tc>
        <w:tc>
          <w:tcPr>
            <w:tcW w:w="2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95468" w:rsidRDefault="00DC42C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4 products</w:t>
            </w:r>
          </w:p>
        </w:tc>
      </w:tr>
    </w:tbl>
    <w:p w:rsidR="00595468" w:rsidRDefault="00595468">
      <w:pPr>
        <w:spacing w:before="8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FDF3EC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854F0B"/>
                <w:sz w:val="19"/>
                <w:szCs w:val="19"/>
              </w:rPr>
              <w:t xml:space="preserve">[Guide]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Know Your Rights — Tenant Edition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 self-paced digital guide educating tenants on their statutory rights under Ghana's Rent Act, covering security deposits, advance rent limits, repairs obligations, and the Rent Control complaints process.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FDF3EC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854F0B"/>
                <w:sz w:val="19"/>
                <w:szCs w:val="19"/>
              </w:rPr>
              <w:t xml:space="preserve">[Training]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Landlord</w:t>
            </w:r>
            <w:r w:rsidR="002374B5"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, Property Manager, Estate Agency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 xml:space="preserve"> Certification Programme (Crash Courses)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An accredited online training programme covering property law, rent administration, tenancy management, and landlord-tenant dispute resolution — culminating in a Property and Rent Consult certificate.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FDF3EC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854F0B"/>
                <w:sz w:val="19"/>
                <w:szCs w:val="19"/>
              </w:rPr>
              <w:t>[In</w:t>
            </w:r>
            <w:r>
              <w:rPr>
                <w:rFonts w:ascii="Arial" w:eastAsia="Arial" w:hAnsi="Arial" w:cs="Arial"/>
                <w:b/>
                <w:bCs/>
                <w:color w:val="854F0B"/>
                <w:sz w:val="19"/>
                <w:szCs w:val="19"/>
              </w:rPr>
              <w:t xml:space="preserve">vestment]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Investment Property Appraisal Tool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 digital appraisal platform enabling property investors to assess rental yield, occupancy rates, market comparables, and projected returns on residential property investments across Greater Accra.</w:t>
            </w:r>
          </w:p>
        </w:tc>
      </w:tr>
    </w:tbl>
    <w:p w:rsidR="00595468" w:rsidRDefault="00595468">
      <w:pPr>
        <w:spacing w:before="60"/>
      </w:pPr>
    </w:p>
    <w:tbl>
      <w:tblPr>
        <w:tblW w:w="98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620"/>
      </w:tblGrid>
      <w:tr w:rsidR="00595468" w:rsidTr="002374B5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</w:tcPr>
          <w:p w:rsidR="00595468" w:rsidRDefault="00595468"/>
        </w:tc>
        <w:tc>
          <w:tcPr>
            <w:tcW w:w="9620" w:type="dxa"/>
            <w:tcBorders>
              <w:top w:val="none" w:sz="0" w:space="0" w:color="FFFFFF"/>
              <w:left w:val="none" w:sz="0" w:space="0" w:color="FFFFFF"/>
              <w:bottom w:val="single" w:sz="4" w:space="0" w:color="E0DDD9"/>
              <w:right w:val="none" w:sz="0" w:space="0" w:color="FFFFFF"/>
            </w:tcBorders>
            <w:shd w:val="clear" w:color="auto" w:fill="FDF3EC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595468" w:rsidRDefault="00DC42C5">
            <w:r>
              <w:rPr>
                <w:rFonts w:ascii="Arial" w:eastAsia="Arial" w:hAnsi="Arial" w:cs="Arial"/>
                <w:b/>
                <w:bCs/>
                <w:color w:val="854F0B"/>
                <w:sz w:val="19"/>
                <w:szCs w:val="19"/>
              </w:rPr>
              <w:t xml:space="preserve">[Intelligence]  </w:t>
            </w:r>
            <w:r>
              <w:rPr>
                <w:rFonts w:ascii="Arial" w:eastAsia="Arial" w:hAnsi="Arial" w:cs="Arial"/>
                <w:b/>
                <w:bCs/>
                <w:color w:val="36221C"/>
                <w:sz w:val="22"/>
                <w:szCs w:val="22"/>
              </w:rPr>
              <w:t>Regulatory Watch Subscription</w:t>
            </w:r>
          </w:p>
          <w:p w:rsidR="00595468" w:rsidRDefault="00DC42C5">
            <w:pPr>
              <w:spacing w:before="60"/>
              <w:jc w:val="both"/>
            </w:pPr>
            <w:r>
              <w:rPr>
                <w:rFonts w:ascii="Arial" w:eastAsia="Arial" w:hAnsi="Arial" w:cs="Arial"/>
                <w:color w:val="4C4848"/>
              </w:rPr>
              <w:t>A monthly digital intelligence briefing covering legislative changes, Rent Control Department circulars, court decisions on tenancy disputes, and market rent trend data — delivered by email and in-app.</w:t>
            </w:r>
          </w:p>
        </w:tc>
      </w:tr>
    </w:tbl>
    <w:p w:rsidR="00595468" w:rsidRDefault="00595468">
      <w:pPr>
        <w:spacing w:before="200"/>
      </w:pPr>
    </w:p>
    <w:p w:rsidR="00595468" w:rsidRDefault="00DC42C5">
      <w:pPr>
        <w:shd w:val="clear" w:color="auto" w:fill="36221C"/>
        <w:jc w:val="center"/>
      </w:pPr>
      <w:r>
        <w:rPr>
          <w:rFonts w:ascii="Arial" w:eastAsia="Arial" w:hAnsi="Arial" w:cs="Arial"/>
          <w:b/>
          <w:bCs/>
          <w:color w:val="FFFFFF"/>
        </w:rPr>
        <w:t xml:space="preserve">  Prop</w:t>
      </w:r>
      <w:r>
        <w:rPr>
          <w:rFonts w:ascii="Arial" w:eastAsia="Arial" w:hAnsi="Arial" w:cs="Arial"/>
          <w:b/>
          <w:bCs/>
          <w:color w:val="FFFFFF"/>
        </w:rPr>
        <w:t xml:space="preserve">erty and Rent Consult — Trusted Guidance in Property &amp; Tenancy  </w:t>
      </w:r>
    </w:p>
    <w:p w:rsidR="00595468" w:rsidRDefault="00DC42C5">
      <w:pPr>
        <w:shd w:val="clear" w:color="auto" w:fill="516984"/>
        <w:jc w:val="center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 </w:t>
      </w:r>
      <w:r w:rsidR="002374B5">
        <w:rPr>
          <w:rFonts w:ascii="Arial" w:eastAsia="Arial" w:hAnsi="Arial" w:cs="Arial"/>
          <w:b/>
          <w:bCs/>
          <w:color w:val="FFFFFF"/>
          <w:sz w:val="18"/>
          <w:szCs w:val="18"/>
        </w:rPr>
        <w:t>www.propertyandrentconsult.com | info@propertyandrentconsult.com</w:t>
      </w:r>
      <w:r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 </w:t>
      </w:r>
    </w:p>
    <w:sectPr w:rsidR="00595468">
      <w:headerReference w:type="default" r:id="rId8"/>
      <w:footerReference w:type="default" r:id="rId9"/>
      <w:pgSz w:w="11906" w:h="16838"/>
      <w:pgMar w:top="144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42C5" w:rsidRDefault="00DC42C5">
      <w:r>
        <w:separator/>
      </w:r>
    </w:p>
  </w:endnote>
  <w:endnote w:type="continuationSeparator" w:id="0">
    <w:p w:rsidR="00DC42C5" w:rsidRDefault="00DC4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5468" w:rsidRDefault="00DC42C5">
    <w:pPr>
      <w:pBdr>
        <w:top w:val="single" w:sz="4" w:space="1" w:color="63645A"/>
      </w:pBdr>
      <w:spacing w:before="120"/>
    </w:pPr>
    <w:r>
      <w:rPr>
        <w:rFonts w:ascii="Arial" w:eastAsia="Arial" w:hAnsi="Arial" w:cs="Arial"/>
        <w:color w:val="63645A"/>
        <w:sz w:val="18"/>
        <w:szCs w:val="18"/>
      </w:rPr>
      <w:t xml:space="preserve">Property and Rent </w:t>
    </w:r>
    <w:proofErr w:type="gramStart"/>
    <w:r>
      <w:rPr>
        <w:rFonts w:ascii="Arial" w:eastAsia="Arial" w:hAnsi="Arial" w:cs="Arial"/>
        <w:color w:val="63645A"/>
        <w:sz w:val="18"/>
        <w:szCs w:val="18"/>
      </w:rPr>
      <w:t>Consult  |</w:t>
    </w:r>
    <w:proofErr w:type="gramEnd"/>
    <w:r>
      <w:rPr>
        <w:rFonts w:ascii="Arial" w:eastAsia="Arial" w:hAnsi="Arial" w:cs="Arial"/>
        <w:color w:val="63645A"/>
        <w:sz w:val="18"/>
        <w:szCs w:val="18"/>
      </w:rPr>
      <w:t xml:space="preserve">  Digital Property &amp; Tenancy Solutions  |  Page </w:t>
    </w:r>
    <w:r>
      <w:rPr>
        <w:rFonts w:ascii="Arial" w:eastAsia="Arial" w:hAnsi="Arial" w:cs="Arial"/>
        <w:color w:val="63645A"/>
        <w:sz w:val="18"/>
        <w:szCs w:val="18"/>
      </w:rPr>
      <w:fldChar w:fldCharType="begin"/>
    </w:r>
    <w:r>
      <w:rPr>
        <w:rFonts w:ascii="Arial" w:eastAsia="Arial" w:hAnsi="Arial" w:cs="Arial"/>
        <w:color w:val="63645A"/>
        <w:sz w:val="18"/>
        <w:szCs w:val="18"/>
      </w:rPr>
      <w:instrText>PAGE</w:instrText>
    </w:r>
    <w:r w:rsidR="002374B5">
      <w:rPr>
        <w:rFonts w:ascii="Arial" w:eastAsia="Arial" w:hAnsi="Arial" w:cs="Arial"/>
        <w:color w:val="63645A"/>
        <w:sz w:val="18"/>
        <w:szCs w:val="18"/>
      </w:rPr>
      <w:fldChar w:fldCharType="separate"/>
    </w:r>
    <w:r w:rsidR="002374B5">
      <w:rPr>
        <w:rFonts w:ascii="Arial" w:eastAsia="Arial" w:hAnsi="Arial" w:cs="Arial"/>
        <w:noProof/>
        <w:color w:val="63645A"/>
        <w:sz w:val="18"/>
        <w:szCs w:val="18"/>
      </w:rPr>
      <w:t>2</w:t>
    </w:r>
    <w:r>
      <w:rPr>
        <w:rFonts w:ascii="Arial" w:eastAsia="Arial" w:hAnsi="Arial" w:cs="Arial"/>
        <w:color w:val="63645A"/>
        <w:sz w:val="18"/>
        <w:szCs w:val="18"/>
      </w:rPr>
      <w:fldChar w:fldCharType="end"/>
    </w:r>
    <w:r>
      <w:rPr>
        <w:rFonts w:ascii="Arial" w:eastAsia="Arial" w:hAnsi="Arial" w:cs="Arial"/>
        <w:color w:val="63645A"/>
        <w:sz w:val="18"/>
        <w:szCs w:val="18"/>
      </w:rPr>
      <w:t xml:space="preserve"> of </w:t>
    </w:r>
    <w:r>
      <w:rPr>
        <w:rFonts w:ascii="Arial" w:eastAsia="Arial" w:hAnsi="Arial" w:cs="Arial"/>
        <w:color w:val="63645A"/>
        <w:sz w:val="18"/>
        <w:szCs w:val="18"/>
      </w:rPr>
      <w:fldChar w:fldCharType="begin"/>
    </w:r>
    <w:r>
      <w:rPr>
        <w:rFonts w:ascii="Arial" w:eastAsia="Arial" w:hAnsi="Arial" w:cs="Arial"/>
        <w:color w:val="63645A"/>
        <w:sz w:val="18"/>
        <w:szCs w:val="18"/>
      </w:rPr>
      <w:instrText>NUMPAGES</w:instrText>
    </w:r>
    <w:r w:rsidR="002374B5">
      <w:rPr>
        <w:rFonts w:ascii="Arial" w:eastAsia="Arial" w:hAnsi="Arial" w:cs="Arial"/>
        <w:color w:val="63645A"/>
        <w:sz w:val="18"/>
        <w:szCs w:val="18"/>
      </w:rPr>
      <w:fldChar w:fldCharType="separate"/>
    </w:r>
    <w:r w:rsidR="002374B5">
      <w:rPr>
        <w:rFonts w:ascii="Arial" w:eastAsia="Arial" w:hAnsi="Arial" w:cs="Arial"/>
        <w:noProof/>
        <w:color w:val="63645A"/>
        <w:sz w:val="18"/>
        <w:szCs w:val="18"/>
      </w:rPr>
      <w:t>3</w:t>
    </w:r>
    <w:r>
      <w:rPr>
        <w:rFonts w:ascii="Arial" w:eastAsia="Arial" w:hAnsi="Arial" w:cs="Arial"/>
        <w:color w:val="6364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42C5" w:rsidRDefault="00DC42C5">
      <w:r>
        <w:separator/>
      </w:r>
    </w:p>
  </w:footnote>
  <w:footnote w:type="continuationSeparator" w:id="0">
    <w:p w:rsidR="00DC42C5" w:rsidRDefault="00DC42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57C4A"/>
    <w:multiLevelType w:val="hybridMultilevel"/>
    <w:tmpl w:val="FA88F654"/>
    <w:lvl w:ilvl="0" w:tplc="A7E8F07C">
      <w:start w:val="1"/>
      <w:numFmt w:val="bullet"/>
      <w:lvlText w:val="●"/>
      <w:lvlJc w:val="left"/>
      <w:pPr>
        <w:ind w:left="720" w:hanging="360"/>
      </w:pPr>
    </w:lvl>
    <w:lvl w:ilvl="1" w:tplc="8BE40F04">
      <w:start w:val="1"/>
      <w:numFmt w:val="bullet"/>
      <w:lvlText w:val="○"/>
      <w:lvlJc w:val="left"/>
      <w:pPr>
        <w:ind w:left="1440" w:hanging="360"/>
      </w:pPr>
    </w:lvl>
    <w:lvl w:ilvl="2" w:tplc="889EBBBA">
      <w:start w:val="1"/>
      <w:numFmt w:val="bullet"/>
      <w:lvlText w:val="■"/>
      <w:lvlJc w:val="left"/>
      <w:pPr>
        <w:ind w:left="2160" w:hanging="360"/>
      </w:pPr>
    </w:lvl>
    <w:lvl w:ilvl="3" w:tplc="50681460">
      <w:start w:val="1"/>
      <w:numFmt w:val="bullet"/>
      <w:lvlText w:val="●"/>
      <w:lvlJc w:val="left"/>
      <w:pPr>
        <w:ind w:left="2880" w:hanging="360"/>
      </w:pPr>
    </w:lvl>
    <w:lvl w:ilvl="4" w:tplc="236EAAB6">
      <w:start w:val="1"/>
      <w:numFmt w:val="bullet"/>
      <w:lvlText w:val="○"/>
      <w:lvlJc w:val="left"/>
      <w:pPr>
        <w:ind w:left="3600" w:hanging="360"/>
      </w:pPr>
    </w:lvl>
    <w:lvl w:ilvl="5" w:tplc="9CFAB468">
      <w:start w:val="1"/>
      <w:numFmt w:val="bullet"/>
      <w:lvlText w:val="■"/>
      <w:lvlJc w:val="left"/>
      <w:pPr>
        <w:ind w:left="4320" w:hanging="360"/>
      </w:pPr>
    </w:lvl>
    <w:lvl w:ilvl="6" w:tplc="6FC2D6B4">
      <w:start w:val="1"/>
      <w:numFmt w:val="bullet"/>
      <w:lvlText w:val="●"/>
      <w:lvlJc w:val="left"/>
      <w:pPr>
        <w:ind w:left="5040" w:hanging="360"/>
      </w:pPr>
    </w:lvl>
    <w:lvl w:ilvl="7" w:tplc="4740E5EA">
      <w:start w:val="1"/>
      <w:numFmt w:val="bullet"/>
      <w:lvlText w:val="●"/>
      <w:lvlJc w:val="left"/>
      <w:pPr>
        <w:ind w:left="5760" w:hanging="360"/>
      </w:pPr>
    </w:lvl>
    <w:lvl w:ilvl="8" w:tplc="DA848D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95468"/>
    <w:rsid w:val="002374B5"/>
    <w:rsid w:val="00595468"/>
    <w:rsid w:val="00DC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74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4B5"/>
  </w:style>
  <w:style w:type="paragraph" w:styleId="Footer">
    <w:name w:val="footer"/>
    <w:basedOn w:val="Normal"/>
    <w:link w:val="FooterChar"/>
    <w:uiPriority w:val="99"/>
    <w:unhideWhenUsed/>
    <w:rsid w:val="002374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4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74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4B5"/>
  </w:style>
  <w:style w:type="paragraph" w:styleId="Footer">
    <w:name w:val="footer"/>
    <w:basedOn w:val="Normal"/>
    <w:link w:val="FooterChar"/>
    <w:uiPriority w:val="99"/>
    <w:unhideWhenUsed/>
    <w:rsid w:val="002374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2026-06-01T18:49:00Z</dcterms:created>
  <dcterms:modified xsi:type="dcterms:W3CDTF">2026-06-02T03:03:00Z</dcterms:modified>
</cp:coreProperties>
</file>