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ROOM RENTAL AGREEMENT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For Single-Room Tenancies in Shared Compound Houses and Multi-Occupancy Buildings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DETAILS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Room Description: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Floor / Location within Building: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Shared Facilities Available to Tenant: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Kitchen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Bathroom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Toilet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Compound / Yard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Current Occupants in Building / Compound: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Circle the applicable term type: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16984"/>
          <w:sz w:val="20"/>
          <w:szCs w:val="20"/>
        </w:rPr>
        <w:t xml:space="preserve">Option A — Fixed-Term: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Landlord lets and the Tenant takes the Room for a fixed term of _______ [months / years] commencing on _______________ and ending on _______________.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16984"/>
          <w:sz w:val="20"/>
          <w:szCs w:val="20"/>
        </w:rPr>
        <w:t xml:space="preserve">Option B — Month-to-Month: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Landlord lets and the Tenant takes the Room on a month-to-month basis commencing on _______________, terminable by one (1) month's written notice by either party expiring at the end of a rental month.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[month / year],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rent shall not be increased without the mutual written consent of both parties, subject to Act 220 and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arise, the Landlord shall give not less than three (3) months' written notice before the increase takes effect.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months' rent in advance on signing this Agreement, totalling GHS _________________.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 unpaid rent, damage beyond fair wear and tear, and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Utility responsibility (circle applicable for each):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Electricity:   Tenant pays directly  /  Included in rent  /  Shared cost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Water:         Tenant pays directly  /  Included in rent  /  Shared cost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Where electricity and/or water are shared with other occupants, the Tenant's proportionate share is GHS _____________ per month, subject to revision if actual usage changes materially.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The Tenant shall not install any independent electrical connection or tap into any utility supply without prior written consent.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 (a) put and keep the Room and shared areas in reasonable repair; (b) ensure the premises are fit for habitation; (c) carry out structural repairs within a reasonable time of written notification; (d) not interfere with the Tenant's quiet enjoyment; (e) give at least twenty-four (24) hours' written notice before entering; (f) issue a written receipt for every payment.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Room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 the Room or any part of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Room for any unlawful purpose or in a manner constituting a nuisance to other occupants;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(k) not bring additional permanent occupants to share the room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(l) comply with the House Rules set out in Schedule 3;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(m) not store any flammable, hazardous, or illegal materials in the room or in any shared area.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Room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this Agreement by giving the applicable notice period set out in Clause 1.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the end of term only on grounds permitted by Act 220, including: (a) non-payment of rent exceeding one (1) month; (b) material breach unremedied after fourteen (14) days' written notice; (c) use of the Room for an illegal purpose;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Room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3 — HOUSE RULES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 Quiet Hours: (____)PM to (____)AM daily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 No cooking in the room unless a dedicated cooking space is provided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 Visitors must leave the premises by 10:00 PM unless otherwise agreed in writing with the Landlord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  All refuse must be deposited in designated bins only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  No loud music or noise likely to disturb other occupants at any time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  No modifications, nails, or fixtures to be attached to walls or fittings without consent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  Shared bathrooms and kitchens must be cleaned after each use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  Additional House Rules: 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Room Rental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2026-06-13T19:46:43.699Z</dcterms:created>
  <dcterms:modified xsi:type="dcterms:W3CDTF">2026-06-13T19:46:43.699Z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