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24"/>
          <w:szCs w:val="24"/>
          <w:lang w:val="pl-PL"/>
        </w:rPr>
      </w:pPr>
      <w:r>
        <w:rPr>
          <w:rFonts w:hint="default" w:ascii="Calibri" w:hAnsi="Calibri" w:cs="Calibri"/>
          <w:b/>
          <w:bCs/>
          <w:sz w:val="24"/>
          <w:szCs w:val="24"/>
          <w:lang w:val="pl-PL"/>
        </w:rPr>
        <w:t>Tydzień 3. 17.09.2019 (45 min.)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pl-PL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pl-PL"/>
        </w:rPr>
        <w:t>Temat: Klucz główny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pl-PL"/>
        </w:rPr>
      </w:pPr>
    </w:p>
    <w:p>
      <w:pPr>
        <w:numPr>
          <w:ilvl w:val="0"/>
          <w:numId w:val="0"/>
        </w:numPr>
        <w:rPr>
          <w:rFonts w:hint="default" w:ascii="Calibri" w:hAnsi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/>
          <w:sz w:val="24"/>
          <w:szCs w:val="24"/>
          <w:vertAlign w:val="baseline"/>
          <w:lang w:val="pl-PL"/>
        </w:rPr>
        <w:t xml:space="preserve">Projektując bazę danych musimy określić która kolumna lub kolumny będą pełnić rolę </w:t>
      </w:r>
      <w:r>
        <w:rPr>
          <w:rFonts w:hint="default" w:ascii="Calibri" w:hAnsi="Calibri"/>
          <w:sz w:val="24"/>
          <w:szCs w:val="24"/>
          <w:u w:val="single"/>
          <w:vertAlign w:val="baseline"/>
          <w:lang w:val="pl-PL"/>
        </w:rPr>
        <w:t>klucza głównego</w:t>
      </w:r>
      <w:r>
        <w:rPr>
          <w:rFonts w:hint="default" w:ascii="Calibri" w:hAnsi="Calibri"/>
          <w:sz w:val="24"/>
          <w:szCs w:val="24"/>
          <w:vertAlign w:val="baseline"/>
          <w:lang w:val="pl-PL"/>
        </w:rPr>
        <w:t xml:space="preserve"> tzn. będą jednoznacznie identyfikować każdy wiersz.</w:t>
      </w:r>
    </w:p>
    <w:p>
      <w:pPr>
        <w:numPr>
          <w:ilvl w:val="0"/>
          <w:numId w:val="0"/>
        </w:numPr>
        <w:rPr>
          <w:rFonts w:hint="default" w:ascii="Calibri" w:hAnsi="Calibri"/>
          <w:sz w:val="10"/>
          <w:szCs w:val="10"/>
          <w:vertAlign w:val="baseline"/>
          <w:lang w:val="pl-PL"/>
        </w:rPr>
      </w:pPr>
    </w:p>
    <w:p>
      <w:pPr>
        <w:numPr>
          <w:ilvl w:val="0"/>
          <w:numId w:val="0"/>
        </w:numPr>
        <w:rPr>
          <w:rFonts w:hint="default" w:ascii="Calibri" w:hAnsi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/>
          <w:sz w:val="24"/>
          <w:szCs w:val="24"/>
          <w:vertAlign w:val="baseline"/>
          <w:lang w:val="pl-PL"/>
        </w:rPr>
        <w:t>Własności kolumny (kolumn) klucza głównego: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/>
          <w:sz w:val="24"/>
          <w:szCs w:val="24"/>
          <w:vertAlign w:val="baseline"/>
          <w:lang w:val="pl-PL"/>
        </w:rPr>
        <w:t>Trwałość - wartość kolumny musi być stale obecna, nie może zawierać wartości NULL.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/>
          <w:sz w:val="24"/>
          <w:szCs w:val="24"/>
          <w:vertAlign w:val="baseline"/>
          <w:lang w:val="pl-PL"/>
        </w:rPr>
        <w:t>Unikatowość - wartość klucza dla każdego wiersza powinna być unikatowa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/>
          <w:sz w:val="24"/>
          <w:szCs w:val="24"/>
          <w:vertAlign w:val="baseline"/>
          <w:lang w:val="pl-PL"/>
        </w:rPr>
        <w:t>Stabilność - wartość kolumn stanowiących klucz główny nie może się zmieniać (np. nie powinien to być numer telefonu albo adres e-mail).</w:t>
      </w:r>
    </w:p>
    <w:p>
      <w:pPr>
        <w:numPr>
          <w:numId w:val="0"/>
        </w:numPr>
        <w:rPr>
          <w:rFonts w:hint="default" w:ascii="Calibri" w:hAnsi="Calibri"/>
          <w:sz w:val="10"/>
          <w:szCs w:val="10"/>
          <w:vertAlign w:val="baseline"/>
          <w:lang w:val="pl-PL"/>
        </w:rPr>
      </w:pPr>
    </w:p>
    <w:p>
      <w:pPr>
        <w:numPr>
          <w:numId w:val="0"/>
        </w:numPr>
        <w:rPr>
          <w:rFonts w:hint="default" w:ascii="Calibri" w:hAnsi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/>
          <w:sz w:val="24"/>
          <w:szCs w:val="24"/>
          <w:vertAlign w:val="baseline"/>
          <w:lang w:val="pl-PL"/>
        </w:rPr>
        <w:t>Przykładami klucza głównego mogą być: numer ISBN dla książek, numer PESEL. Bardzo często może to być sztucznie dodana kolumna zawierająca kolejne numery wierszy.</w:t>
      </w:r>
    </w:p>
    <w:p>
      <w:pPr>
        <w:numPr>
          <w:numId w:val="0"/>
        </w:numPr>
        <w:rPr>
          <w:rFonts w:hint="default" w:ascii="Calibri" w:hAnsi="Calibri"/>
          <w:sz w:val="24"/>
          <w:szCs w:val="24"/>
          <w:vertAlign w:val="baseline"/>
          <w:lang w:val="pl-PL"/>
        </w:rPr>
      </w:pPr>
    </w:p>
    <w:p>
      <w:pPr>
        <w:numPr>
          <w:numId w:val="0"/>
        </w:numPr>
        <w:rPr>
          <w:rFonts w:hint="default" w:ascii="Calibri" w:hAnsi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/>
          <w:sz w:val="24"/>
          <w:szCs w:val="24"/>
          <w:vertAlign w:val="baseline"/>
          <w:lang w:val="pl-PL"/>
        </w:rPr>
        <w:t>Rodzaje kluczy</w:t>
      </w:r>
    </w:p>
    <w:p>
      <w:pPr>
        <w:numPr>
          <w:numId w:val="0"/>
        </w:numPr>
        <w:rPr>
          <w:rFonts w:hint="default" w:ascii="Calibri" w:hAnsi="Calibri"/>
          <w:sz w:val="10"/>
          <w:szCs w:val="10"/>
          <w:vertAlign w:val="baseline"/>
          <w:lang w:val="pl-PL"/>
        </w:rPr>
      </w:pPr>
    </w:p>
    <w:p>
      <w:pPr>
        <w:numPr>
          <w:numId w:val="0"/>
        </w:numPr>
        <w:rPr>
          <w:rFonts w:hint="default" w:ascii="Calibri" w:hAnsi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/>
          <w:sz w:val="24"/>
          <w:szCs w:val="24"/>
          <w:u w:val="single"/>
          <w:vertAlign w:val="baseline"/>
          <w:lang w:val="pl-PL"/>
        </w:rPr>
        <w:t>Klucz prosty</w:t>
      </w:r>
      <w:r>
        <w:rPr>
          <w:rFonts w:hint="default" w:ascii="Calibri" w:hAnsi="Calibri"/>
          <w:sz w:val="24"/>
          <w:szCs w:val="24"/>
          <w:vertAlign w:val="baseline"/>
          <w:lang w:val="pl-PL"/>
        </w:rPr>
        <w:t xml:space="preserve"> - składający się z jednej kolumny</w:t>
      </w:r>
    </w:p>
    <w:p>
      <w:pPr>
        <w:numPr>
          <w:numId w:val="0"/>
        </w:numPr>
        <w:rPr>
          <w:rFonts w:hint="default" w:ascii="Calibri" w:hAnsi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/>
          <w:sz w:val="24"/>
          <w:szCs w:val="24"/>
          <w:u w:val="single"/>
          <w:vertAlign w:val="baseline"/>
          <w:lang w:val="pl-PL"/>
        </w:rPr>
        <w:t>Klucz złożony</w:t>
      </w:r>
      <w:r>
        <w:rPr>
          <w:rFonts w:hint="default" w:ascii="Calibri" w:hAnsi="Calibri"/>
          <w:sz w:val="24"/>
          <w:szCs w:val="24"/>
          <w:vertAlign w:val="baseline"/>
          <w:lang w:val="pl-PL"/>
        </w:rPr>
        <w:t xml:space="preserve"> - składa się z więcej niż jednej kolumny</w:t>
      </w:r>
    </w:p>
    <w:p>
      <w:pPr>
        <w:numPr>
          <w:numId w:val="0"/>
        </w:numPr>
        <w:rPr>
          <w:rFonts w:hint="default" w:ascii="Calibri" w:hAnsi="Calibri"/>
          <w:sz w:val="10"/>
          <w:szCs w:val="10"/>
          <w:vertAlign w:val="baseline"/>
          <w:lang w:val="pl-PL"/>
        </w:rPr>
      </w:pPr>
    </w:p>
    <w:p>
      <w:pPr>
        <w:numPr>
          <w:numId w:val="0"/>
        </w:numPr>
        <w:rPr>
          <w:rFonts w:hint="default" w:ascii="Calibri" w:hAnsi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/>
          <w:sz w:val="24"/>
          <w:szCs w:val="24"/>
          <w:vertAlign w:val="baseline"/>
          <w:lang w:val="pl-PL"/>
        </w:rPr>
        <w:t>Kolumny tworzące klucz podstawowy nazywamy atrybutami podstawowymi, pozostałe atrybutami opisowymi.</w:t>
      </w:r>
    </w:p>
    <w:p>
      <w:pPr>
        <w:numPr>
          <w:numId w:val="0"/>
        </w:numPr>
        <w:rPr>
          <w:rFonts w:hint="default" w:ascii="Calibri" w:hAnsi="Calibri"/>
          <w:sz w:val="10"/>
          <w:szCs w:val="10"/>
          <w:vertAlign w:val="baseline"/>
          <w:lang w:val="pl-PL"/>
        </w:rPr>
      </w:pPr>
    </w:p>
    <w:p>
      <w:pPr>
        <w:numPr>
          <w:numId w:val="0"/>
        </w:numPr>
        <w:rPr>
          <w:rFonts w:hint="default" w:ascii="Calibri" w:hAnsi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/>
          <w:sz w:val="24"/>
          <w:szCs w:val="24"/>
          <w:u w:val="single"/>
          <w:vertAlign w:val="baseline"/>
          <w:lang w:val="pl-PL"/>
        </w:rPr>
        <w:t>Klucz kandydujący</w:t>
      </w:r>
      <w:r>
        <w:rPr>
          <w:rFonts w:hint="default" w:ascii="Calibri" w:hAnsi="Calibri"/>
          <w:sz w:val="24"/>
          <w:szCs w:val="24"/>
          <w:vertAlign w:val="baseline"/>
          <w:lang w:val="pl-PL"/>
        </w:rPr>
        <w:t xml:space="preserve"> to kolumna lub (minimalny) zestaw kolumn jednoznacznie identyfikujący każdy wiersz. Twórca bazy danych decyduje który z kluczy kandydujących będzie pełnił funkcję klucza głównego.</w:t>
      </w:r>
    </w:p>
    <w:p>
      <w:pPr>
        <w:numPr>
          <w:numId w:val="0"/>
        </w:numPr>
        <w:rPr>
          <w:rFonts w:hint="default" w:ascii="Calibri" w:hAnsi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/>
          <w:sz w:val="24"/>
          <w:szCs w:val="24"/>
          <w:vertAlign w:val="baseline"/>
          <w:lang w:val="pl-PL"/>
        </w:rPr>
        <w:t>Np. w tabeli o atrybutach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numPr>
                <w:numId w:val="0"/>
              </w:numPr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  <w:t>Id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>
            <w:pPr>
              <w:numPr>
                <w:numId w:val="0"/>
              </w:numPr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  <w:t>Imię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numPr>
                <w:numId w:val="0"/>
              </w:numPr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  <w:t>Nazwisko</w:t>
            </w:r>
          </w:p>
        </w:tc>
        <w:tc>
          <w:tcPr>
            <w:tcW w:w="2131" w:type="dxa"/>
            <w:shd w:val="clear" w:color="auto" w:fill="9CC2E5" w:themeFill="accent1" w:themeFillTint="99"/>
          </w:tcPr>
          <w:p>
            <w:pPr>
              <w:numPr>
                <w:numId w:val="0"/>
              </w:numPr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  <w:t>PESEL</w:t>
            </w:r>
          </w:p>
        </w:tc>
      </w:tr>
    </w:tbl>
    <w:p>
      <w:pPr>
        <w:numPr>
          <w:numId w:val="0"/>
        </w:numPr>
        <w:rPr>
          <w:rFonts w:hint="default" w:ascii="Calibri" w:hAnsi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/>
          <w:sz w:val="24"/>
          <w:szCs w:val="24"/>
          <w:vertAlign w:val="baseline"/>
          <w:lang w:val="pl-PL"/>
        </w:rPr>
        <w:t xml:space="preserve">rolę klucza kandydującego mogą pełnić kolumny Id oraz PESEL. </w:t>
      </w:r>
    </w:p>
    <w:p>
      <w:pPr>
        <w:numPr>
          <w:numId w:val="0"/>
        </w:numPr>
        <w:rPr>
          <w:rFonts w:hint="default" w:ascii="Calibri" w:hAnsi="Calibri"/>
          <w:sz w:val="10"/>
          <w:szCs w:val="10"/>
          <w:vertAlign w:val="baseline"/>
          <w:lang w:val="pl-PL"/>
        </w:rPr>
      </w:pPr>
    </w:p>
    <w:p>
      <w:pPr>
        <w:numPr>
          <w:numId w:val="0"/>
        </w:numPr>
        <w:rPr>
          <w:rFonts w:hint="default" w:ascii="Calibri" w:hAnsi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/>
          <w:sz w:val="24"/>
          <w:szCs w:val="24"/>
          <w:vertAlign w:val="baseline"/>
          <w:lang w:val="pl-PL"/>
        </w:rPr>
        <w:t>Kluczy używa się do łączenia tabel. Klucz w tabeli A pochodzący od obcej tabeli B (w której jest kluczem głównym) będzie dla tabeli A kluczem obcym.</w:t>
      </w:r>
    </w:p>
    <w:p>
      <w:pPr>
        <w:numPr>
          <w:numId w:val="0"/>
        </w:numPr>
        <w:rPr>
          <w:rFonts w:hint="default" w:ascii="Calibri" w:hAnsi="Calibri"/>
          <w:sz w:val="24"/>
          <w:szCs w:val="24"/>
          <w:vertAlign w:val="baseline"/>
          <w:lang w:val="pl-PL"/>
        </w:rPr>
      </w:pPr>
    </w:p>
    <w:tbl>
      <w:tblPr>
        <w:tblStyle w:val="6"/>
        <w:tblpPr w:leftFromText="180" w:rightFromText="180" w:vertAnchor="text" w:tblpXSpec="left" w:tblpY="1"/>
        <w:tblOverlap w:val="never"/>
        <w:tblW w:w="2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50"/>
        <w:gridCol w:w="825"/>
        <w:gridCol w:w="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2330" w:type="dxa"/>
            <w:gridSpan w:val="3"/>
            <w:shd w:val="clear" w:color="auto" w:fill="9CC2E5" w:themeFill="accent1" w:themeFillTint="99"/>
            <w:vAlign w:val="top"/>
          </w:tcPr>
          <w:p>
            <w:pPr>
              <w:numPr>
                <w:numId w:val="0"/>
              </w:numPr>
              <w:shd w:val="clear" w:fill="9CC2E5" w:themeFill="accent1" w:themeFillTint="99"/>
              <w:jc w:val="center"/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4"/>
                <w:szCs w:val="24"/>
                <w:shd w:val="clear" w:fill="9CC2E5" w:themeFill="accent1" w:themeFillTint="99"/>
                <w:vertAlign w:val="baseline"/>
                <w:lang w:val="pl-PL"/>
              </w:rPr>
              <w:t>Książki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650" w:type="dxa"/>
            <w:shd w:val="clear" w:color="auto" w:fill="FF0000"/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  <w:t>Id</w:t>
            </w:r>
          </w:p>
        </w:tc>
        <w:tc>
          <w:tcPr>
            <w:tcW w:w="825" w:type="dxa"/>
            <w:shd w:val="clear" w:color="auto" w:fill="00B050"/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  <w:t>Autor</w:t>
            </w:r>
          </w:p>
        </w:tc>
        <w:tc>
          <w:tcPr>
            <w:tcW w:w="855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  <w:t>Tytuł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650" w:type="dxa"/>
            <w:shd w:val="clear" w:color="auto" w:fill="FF0000"/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  <w:t>1</w:t>
            </w:r>
          </w:p>
        </w:tc>
        <w:tc>
          <w:tcPr>
            <w:tcW w:w="825" w:type="dxa"/>
            <w:shd w:val="clear" w:color="auto" w:fill="00B050"/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  <w:t>3</w:t>
            </w:r>
          </w:p>
        </w:tc>
        <w:tc>
          <w:tcPr>
            <w:tcW w:w="855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650" w:type="dxa"/>
            <w:shd w:val="clear" w:color="auto" w:fill="FF0000"/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  <w:t>2</w:t>
            </w:r>
          </w:p>
        </w:tc>
        <w:tc>
          <w:tcPr>
            <w:tcW w:w="825" w:type="dxa"/>
            <w:shd w:val="clear" w:color="auto" w:fill="00B050"/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  <w:t>2</w:t>
            </w:r>
          </w:p>
        </w:tc>
        <w:tc>
          <w:tcPr>
            <w:tcW w:w="855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650" w:type="dxa"/>
            <w:shd w:val="clear" w:color="auto" w:fill="FF0000"/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  <w:t>3</w:t>
            </w:r>
          </w:p>
        </w:tc>
        <w:tc>
          <w:tcPr>
            <w:tcW w:w="825" w:type="dxa"/>
            <w:shd w:val="clear" w:color="auto" w:fill="00B050"/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  <w:t>2</w:t>
            </w:r>
          </w:p>
        </w:tc>
        <w:tc>
          <w:tcPr>
            <w:tcW w:w="855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</w:pPr>
          </w:p>
        </w:tc>
      </w:tr>
    </w:tbl>
    <w:tbl>
      <w:tblPr>
        <w:tblStyle w:val="6"/>
        <w:tblW w:w="52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50"/>
        <w:gridCol w:w="643"/>
        <w:gridCol w:w="1200"/>
        <w:gridCol w:w="1140"/>
        <w:gridCol w:w="1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223" w:type="dxa"/>
            <w:gridSpan w:val="5"/>
            <w:shd w:val="clear" w:color="auto" w:fill="9CC2E5" w:themeFill="accent1" w:themeFillTint="99"/>
          </w:tcPr>
          <w:p>
            <w:pPr>
              <w:numPr>
                <w:numId w:val="0"/>
              </w:numPr>
              <w:jc w:val="center"/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  <w:t>Autorzy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0" w:type="dxa"/>
            <w:shd w:val="clear" w:color="auto" w:fill="FF0000"/>
          </w:tcPr>
          <w:p>
            <w:pPr>
              <w:numPr>
                <w:numId w:val="0"/>
              </w:numPr>
              <w:jc w:val="center"/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  <w:t>Id</w:t>
            </w:r>
          </w:p>
        </w:tc>
        <w:tc>
          <w:tcPr>
            <w:tcW w:w="643" w:type="dxa"/>
          </w:tcPr>
          <w:p>
            <w:pPr>
              <w:numPr>
                <w:numId w:val="0"/>
              </w:numPr>
              <w:jc w:val="center"/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  <w:t>Imię</w:t>
            </w:r>
          </w:p>
        </w:tc>
        <w:tc>
          <w:tcPr>
            <w:tcW w:w="1200" w:type="dxa"/>
          </w:tcPr>
          <w:p>
            <w:pPr>
              <w:numPr>
                <w:numId w:val="0"/>
              </w:numPr>
              <w:jc w:val="center"/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  <w:t>Nazwisko</w:t>
            </w:r>
          </w:p>
        </w:tc>
        <w:tc>
          <w:tcPr>
            <w:tcW w:w="1140" w:type="dxa"/>
          </w:tcPr>
          <w:p>
            <w:pPr>
              <w:numPr>
                <w:numId w:val="0"/>
              </w:numPr>
              <w:jc w:val="center"/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  <w:t>Data ur.</w:t>
            </w:r>
          </w:p>
        </w:tc>
        <w:tc>
          <w:tcPr>
            <w:tcW w:w="1590" w:type="dxa"/>
          </w:tcPr>
          <w:p>
            <w:pPr>
              <w:numPr>
                <w:numId w:val="0"/>
              </w:numPr>
              <w:jc w:val="center"/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  <w:t>Pochodzenie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0" w:type="dxa"/>
            <w:shd w:val="clear" w:color="auto" w:fill="FF0000"/>
          </w:tcPr>
          <w:p>
            <w:pPr>
              <w:numPr>
                <w:numId w:val="0"/>
              </w:numPr>
              <w:jc w:val="center"/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  <w:t>1</w:t>
            </w:r>
          </w:p>
        </w:tc>
        <w:tc>
          <w:tcPr>
            <w:tcW w:w="643" w:type="dxa"/>
          </w:tcPr>
          <w:p>
            <w:pPr>
              <w:numPr>
                <w:numId w:val="0"/>
              </w:numPr>
              <w:jc w:val="center"/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</w:pPr>
          </w:p>
        </w:tc>
        <w:tc>
          <w:tcPr>
            <w:tcW w:w="1200" w:type="dxa"/>
          </w:tcPr>
          <w:p>
            <w:pPr>
              <w:numPr>
                <w:numId w:val="0"/>
              </w:numPr>
              <w:jc w:val="center"/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</w:pPr>
          </w:p>
        </w:tc>
        <w:tc>
          <w:tcPr>
            <w:tcW w:w="1140" w:type="dxa"/>
          </w:tcPr>
          <w:p>
            <w:pPr>
              <w:numPr>
                <w:numId w:val="0"/>
              </w:numPr>
              <w:jc w:val="center"/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</w:pPr>
          </w:p>
        </w:tc>
        <w:tc>
          <w:tcPr>
            <w:tcW w:w="1590" w:type="dxa"/>
          </w:tcPr>
          <w:p>
            <w:pPr>
              <w:numPr>
                <w:numId w:val="0"/>
              </w:numPr>
              <w:jc w:val="center"/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0" w:type="dxa"/>
            <w:shd w:val="clear" w:color="auto" w:fill="FF0000"/>
          </w:tcPr>
          <w:p>
            <w:pPr>
              <w:numPr>
                <w:numId w:val="0"/>
              </w:numPr>
              <w:jc w:val="center"/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  <w:t>2</w:t>
            </w:r>
          </w:p>
        </w:tc>
        <w:tc>
          <w:tcPr>
            <w:tcW w:w="643" w:type="dxa"/>
          </w:tcPr>
          <w:p>
            <w:pPr>
              <w:numPr>
                <w:numId w:val="0"/>
              </w:numPr>
              <w:jc w:val="center"/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</w:pPr>
          </w:p>
        </w:tc>
        <w:tc>
          <w:tcPr>
            <w:tcW w:w="1200" w:type="dxa"/>
          </w:tcPr>
          <w:p>
            <w:pPr>
              <w:numPr>
                <w:numId w:val="0"/>
              </w:numPr>
              <w:jc w:val="center"/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</w:pPr>
          </w:p>
        </w:tc>
        <w:tc>
          <w:tcPr>
            <w:tcW w:w="1140" w:type="dxa"/>
          </w:tcPr>
          <w:p>
            <w:pPr>
              <w:numPr>
                <w:numId w:val="0"/>
              </w:numPr>
              <w:jc w:val="center"/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</w:pPr>
          </w:p>
        </w:tc>
        <w:tc>
          <w:tcPr>
            <w:tcW w:w="1590" w:type="dxa"/>
          </w:tcPr>
          <w:p>
            <w:pPr>
              <w:numPr>
                <w:numId w:val="0"/>
              </w:numPr>
              <w:jc w:val="center"/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0" w:type="dxa"/>
            <w:shd w:val="clear" w:color="auto" w:fill="FF0000"/>
          </w:tcPr>
          <w:p>
            <w:pPr>
              <w:numPr>
                <w:numId w:val="0"/>
              </w:numPr>
              <w:jc w:val="center"/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  <w:t>3</w:t>
            </w:r>
          </w:p>
        </w:tc>
        <w:tc>
          <w:tcPr>
            <w:tcW w:w="643" w:type="dxa"/>
          </w:tcPr>
          <w:p>
            <w:pPr>
              <w:numPr>
                <w:numId w:val="0"/>
              </w:numPr>
              <w:jc w:val="center"/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</w:pPr>
          </w:p>
        </w:tc>
        <w:tc>
          <w:tcPr>
            <w:tcW w:w="1200" w:type="dxa"/>
          </w:tcPr>
          <w:p>
            <w:pPr>
              <w:numPr>
                <w:numId w:val="0"/>
              </w:numPr>
              <w:jc w:val="center"/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</w:pPr>
          </w:p>
        </w:tc>
        <w:tc>
          <w:tcPr>
            <w:tcW w:w="1140" w:type="dxa"/>
          </w:tcPr>
          <w:p>
            <w:pPr>
              <w:numPr>
                <w:numId w:val="0"/>
              </w:numPr>
              <w:jc w:val="center"/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</w:pPr>
          </w:p>
        </w:tc>
        <w:tc>
          <w:tcPr>
            <w:tcW w:w="1590" w:type="dxa"/>
          </w:tcPr>
          <w:p>
            <w:pPr>
              <w:numPr>
                <w:numId w:val="0"/>
              </w:numPr>
              <w:jc w:val="center"/>
              <w:rPr>
                <w:rFonts w:hint="default" w:ascii="Calibri" w:hAnsi="Calibri"/>
                <w:sz w:val="24"/>
                <w:szCs w:val="24"/>
                <w:vertAlign w:val="baseline"/>
                <w:lang w:val="pl-PL"/>
              </w:rPr>
            </w:pPr>
          </w:p>
        </w:tc>
      </w:tr>
    </w:tbl>
    <w:p>
      <w:pPr>
        <w:numPr>
          <w:numId w:val="0"/>
        </w:numPr>
        <w:rPr>
          <w:rFonts w:hint="default" w:ascii="Calibri" w:hAnsi="Calibri"/>
          <w:sz w:val="24"/>
          <w:szCs w:val="24"/>
          <w:vertAlign w:val="baseline"/>
          <w:lang w:val="pl-PL"/>
        </w:rPr>
      </w:pPr>
      <w:bookmarkStart w:id="0" w:name="_GoBack"/>
      <w:bookmarkEnd w:id="0"/>
    </w:p>
    <w:sectPr>
      <w:headerReference r:id="rId3" w:type="default"/>
      <w:type w:val="continuous"/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sz w:val="28"/>
        <w:szCs w:val="28"/>
        <w:lang w:val="pl-PL"/>
      </w:rPr>
    </w:pPr>
    <w:r>
      <w:rPr>
        <w:rFonts w:hint="default"/>
        <w:sz w:val="28"/>
        <w:szCs w:val="28"/>
        <w:lang w:val="pl-PL"/>
      </w:rPr>
      <w:t>Bazy danych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741FEE"/>
    <w:multiLevelType w:val="singleLevel"/>
    <w:tmpl w:val="C7741FE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733DA6"/>
    <w:rsid w:val="069B6D1F"/>
    <w:rsid w:val="13B13393"/>
    <w:rsid w:val="15B80A3A"/>
    <w:rsid w:val="1A432829"/>
    <w:rsid w:val="251978E3"/>
    <w:rsid w:val="26AB728D"/>
    <w:rsid w:val="2C9345FA"/>
    <w:rsid w:val="306853EB"/>
    <w:rsid w:val="306B12BC"/>
    <w:rsid w:val="336A696F"/>
    <w:rsid w:val="35CA3EEB"/>
    <w:rsid w:val="3DB764CC"/>
    <w:rsid w:val="3FED3BAE"/>
    <w:rsid w:val="433664F6"/>
    <w:rsid w:val="44731A00"/>
    <w:rsid w:val="492235AB"/>
    <w:rsid w:val="4CC36B68"/>
    <w:rsid w:val="56F87943"/>
    <w:rsid w:val="57CC4F96"/>
    <w:rsid w:val="5A4943FB"/>
    <w:rsid w:val="624F0AF9"/>
    <w:rsid w:val="63253D46"/>
    <w:rsid w:val="659F6AC8"/>
    <w:rsid w:val="66C00AF3"/>
    <w:rsid w:val="6B0C281F"/>
    <w:rsid w:val="6D733DA6"/>
    <w:rsid w:val="6DED4337"/>
    <w:rsid w:val="72D70EC8"/>
    <w:rsid w:val="733F41DA"/>
    <w:rsid w:val="769703CA"/>
    <w:rsid w:val="7B81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2019-09-03T13:40:00Z</dcterms:created>
  <dc:creator>User</dc:creator>
  <cp:lastModifiedBy>google1567707886</cp:lastModifiedBy>
  <dcterms:modified xsi:type="dcterms:W3CDTF">2019-09-16T21:39:14Z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1045-11.2.0.8942</vt:lpwstr>
  </property>
</Properties>
</file>