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pStyle w:val="Title"/>
        <w:jc w:val="center"/>
      </w:pPr>
      <w:r>
        <w:t>Investment &amp; Fund Management Plan</w:t>
      </w:r>
    </w:p>
    <w:p>
      <w:pPr>
        <w:jc w:val="center"/>
      </w:pPr>
      <w:r>
        <w:rPr>
          <w:color w:val="323296"/>
          <w:sz w:val="32"/>
        </w:rPr>
        <w:t>Strategic Portfolio Allocation for $1,000 | $5,000 | $10,000</w:t>
      </w:r>
    </w:p>
    <w:p/>
    <w:p>
      <w:pPr>
        <w:jc w:val="center"/>
      </w:pPr>
      <w:r>
        <w:rPr>
          <w:color w:val="646464"/>
          <w:sz w:val="26"/>
        </w:rPr>
        <w:t>Based on Current Economic &amp; Financial Conditions</w:t>
        <w:br/>
        <w:t>February 2026</w:t>
      </w:r>
    </w:p>
    <w:p/>
    <w:p>
      <w:pPr>
        <w:jc w:val="center"/>
      </w:pPr>
      <w:r>
        <w:rPr>
          <w:i/>
          <w:color w:val="963232"/>
          <w:sz w:val="18"/>
        </w:rPr>
        <w:t>DISCLAIMER: This document is for educational and informational purposes only. It does not constitute financial advice. All investments carry risk, including the potential loss of principal. Past performance does not guarantee future results. Consult a licensed financial advisor before making investment decisions.</w:t>
      </w:r>
    </w:p>
    <w:p>
      <w:r>
        <w:br w:type="page"/>
      </w:r>
    </w:p>
    <w:p>
      <w:pPr>
        <w:pStyle w:val="Heading1"/>
      </w:pPr>
      <w:r>
        <w:t>Table of Contents</w:t>
      </w:r>
    </w:p>
    <w:p>
      <w:r>
        <w:t>Part 1: Current Economic Landscape (February 2026)</w:t>
      </w:r>
    </w:p>
    <w:p>
      <w:r>
        <w:t xml:space="preserve">    1.1 Macroeconomic Overview</w:t>
      </w:r>
    </w:p>
    <w:p>
      <w:r>
        <w:t xml:space="preserve">    1.2 Federal Reserve &amp; Interest Rates</w:t>
      </w:r>
    </w:p>
    <w:p>
      <w:r>
        <w:t xml:space="preserve">    1.3 Inflation Environment</w:t>
      </w:r>
    </w:p>
    <w:p>
      <w:r>
        <w:t xml:space="preserve">    1.4 Stock Market Conditions</w:t>
      </w:r>
    </w:p>
    <w:p>
      <w:r>
        <w:t xml:space="preserve">    1.5 Bond Market Conditions</w:t>
      </w:r>
    </w:p>
    <w:p>
      <w:r>
        <w:t xml:space="preserve">    1.6 Cryptocurrency &amp; Alternative Assets</w:t>
      </w:r>
    </w:p>
    <w:p>
      <w:r>
        <w:t xml:space="preserve">    1.7 Key Risks &amp; Opportunities</w:t>
      </w:r>
    </w:p>
    <w:p/>
    <w:p>
      <w:r>
        <w:t>Part 2: Investment Vehicles Overview</w:t>
      </w:r>
    </w:p>
    <w:p>
      <w:r>
        <w:t xml:space="preserve">    2.1 High-Yield Savings Accounts</w:t>
      </w:r>
    </w:p>
    <w:p>
      <w:r>
        <w:t xml:space="preserve">    2.2 Index Funds &amp; ETFs</w:t>
      </w:r>
    </w:p>
    <w:p>
      <w:r>
        <w:t xml:space="preserve">    2.3 Individual Stocks</w:t>
      </w:r>
    </w:p>
    <w:p>
      <w:r>
        <w:t xml:space="preserve">    2.4 Bonds &amp; Treasury Securities</w:t>
      </w:r>
    </w:p>
    <w:p>
      <w:r>
        <w:t xml:space="preserve">    2.5 Cryptocurrency</w:t>
      </w:r>
    </w:p>
    <w:p>
      <w:r>
        <w:t xml:space="preserve">    2.6 REITs &amp; Real Estate</w:t>
      </w:r>
    </w:p>
    <w:p>
      <w:r>
        <w:t xml:space="preserve">    2.7 Commodities (Gold, Silver)</w:t>
      </w:r>
    </w:p>
    <w:p/>
    <w:p>
      <w:r>
        <w:t>Part 3: $1,000 Investment Plan</w:t>
      </w:r>
    </w:p>
    <w:p>
      <w:r>
        <w:t xml:space="preserve">    3.1 Conservative Strategy</w:t>
      </w:r>
    </w:p>
    <w:p>
      <w:r>
        <w:t xml:space="preserve">    3.2 Balanced Strategy</w:t>
      </w:r>
    </w:p>
    <w:p>
      <w:r>
        <w:t xml:space="preserve">    3.3 Aggressive Strategy</w:t>
      </w:r>
    </w:p>
    <w:p>
      <w:r>
        <w:t xml:space="preserve">    3.4 Projected Returns (12 months)</w:t>
      </w:r>
    </w:p>
    <w:p/>
    <w:p>
      <w:r>
        <w:t>Part 4: $5,000 Investment Plan</w:t>
      </w:r>
    </w:p>
    <w:p>
      <w:r>
        <w:t xml:space="preserve">    4.1 Conservative Strategy</w:t>
      </w:r>
    </w:p>
    <w:p>
      <w:r>
        <w:t xml:space="preserve">    4.2 Balanced Strategy</w:t>
      </w:r>
    </w:p>
    <w:p>
      <w:r>
        <w:t xml:space="preserve">    4.3 Aggressive Strategy</w:t>
      </w:r>
    </w:p>
    <w:p>
      <w:r>
        <w:t xml:space="preserve">    4.4 Projected Returns (12 months)</w:t>
      </w:r>
    </w:p>
    <w:p/>
    <w:p>
      <w:r>
        <w:t>Part 5: $10,000 Investment Plan</w:t>
      </w:r>
    </w:p>
    <w:p>
      <w:r>
        <w:t xml:space="preserve">    5.1 Conservative Strategy</w:t>
      </w:r>
    </w:p>
    <w:p>
      <w:r>
        <w:t xml:space="preserve">    5.2 Balanced Strategy</w:t>
      </w:r>
    </w:p>
    <w:p>
      <w:r>
        <w:t xml:space="preserve">    5.3 Aggressive Strategy</w:t>
      </w:r>
    </w:p>
    <w:p>
      <w:r>
        <w:t xml:space="preserve">    5.4 Projected Returns (12 months)</w:t>
      </w:r>
    </w:p>
    <w:p/>
    <w:p>
      <w:r>
        <w:t>Part 6: Fund Management Rules</w:t>
      </w:r>
    </w:p>
    <w:p>
      <w:r>
        <w:t xml:space="preserve">    6.1 Rebalancing Schedule</w:t>
      </w:r>
    </w:p>
    <w:p>
      <w:r>
        <w:t xml:space="preserve">    6.2 Stop-Loss &amp; Take-Profit Rules</w:t>
      </w:r>
    </w:p>
    <w:p>
      <w:r>
        <w:t xml:space="preserve">    6.3 Dollar-Cost Averaging Strategy</w:t>
      </w:r>
    </w:p>
    <w:p>
      <w:r>
        <w:t xml:space="preserve">    6.4 Emergency Fund Priority</w:t>
      </w:r>
    </w:p>
    <w:p>
      <w:r>
        <w:t xml:space="preserve">    6.5 Tax Optimization</w:t>
      </w:r>
    </w:p>
    <w:p/>
    <w:p>
      <w:r>
        <w:t>Part 7: Risk Management Framework</w:t>
      </w:r>
    </w:p>
    <w:p>
      <w:r>
        <w:t>Part 8: Monthly Action Checklist</w:t>
      </w:r>
    </w:p>
    <w:p>
      <w:r>
        <w:t>Part 9: Recommended Platforms &amp; Tools</w:t>
      </w:r>
    </w:p>
    <w:p>
      <w:r>
        <w:t>Part 10: Sources &amp; References</w:t>
      </w:r>
    </w:p>
    <w:p>
      <w:r>
        <w:br w:type="page"/>
      </w:r>
    </w:p>
    <w:p>
      <w:pPr>
        <w:pStyle w:val="Heading1"/>
      </w:pPr>
      <w:r>
        <w:t>Part 1: Current Economic Landscape (February 2026)</w:t>
      </w:r>
    </w:p>
    <w:p>
      <w:pPr>
        <w:pStyle w:val="Heading2"/>
      </w:pPr>
      <w:r>
        <w:t>1.1 Macroeconomic Overview</w:t>
      </w:r>
    </w:p>
    <w:p>
      <w:r>
        <w:t>The US economy enters 2026 in a state of cautious optimism. GDP growth is projected at 1.9-2.0% for 2026, supported by strong capital investment — particularly in AI infrastructure — but tempered by a cooling labor market and tariff-driven price pressures.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Indicator</w:t>
            </w:r>
          </w:p>
        </w:tc>
        <w:tc>
          <w:tcPr>
            <w:tcW w:type="dxa" w:w="2160"/>
          </w:tcPr>
          <w:p>
            <w:r>
              <w:rPr>
                <w:b/>
              </w:rPr>
              <w:t>Current Value</w:t>
            </w:r>
          </w:p>
        </w:tc>
        <w:tc>
          <w:tcPr>
            <w:tcW w:type="dxa" w:w="2160"/>
          </w:tcPr>
          <w:p>
            <w:r>
              <w:rPr>
                <w:b/>
              </w:rPr>
              <w:t>Trend</w:t>
            </w:r>
          </w:p>
        </w:tc>
        <w:tc>
          <w:tcPr>
            <w:tcW w:type="dxa" w:w="2160"/>
          </w:tcPr>
          <w:p>
            <w:r>
              <w:rPr>
                <w:b/>
              </w:rPr>
              <w:t>Impact on Investors</w:t>
            </w:r>
          </w:p>
        </w:tc>
      </w:tr>
      <w:tr>
        <w:tc>
          <w:tcPr>
            <w:tcW w:type="dxa" w:w="2160"/>
          </w:tcPr>
          <w:p>
            <w:r>
              <w:t>GDP Growth</w:t>
            </w:r>
          </w:p>
        </w:tc>
        <w:tc>
          <w:tcPr>
            <w:tcW w:type="dxa" w:w="2160"/>
          </w:tcPr>
          <w:p>
            <w:r>
              <w:t>1.9-2.0% (2026 est.)</w:t>
            </w:r>
          </w:p>
        </w:tc>
        <w:tc>
          <w:tcPr>
            <w:tcW w:type="dxa" w:w="2160"/>
          </w:tcPr>
          <w:p>
            <w:r>
              <w:t>Stable</w:t>
            </w:r>
          </w:p>
        </w:tc>
        <w:tc>
          <w:tcPr>
            <w:tcW w:type="dxa" w:w="2160"/>
          </w:tcPr>
          <w:p>
            <w:r>
              <w:t>Moderate — supports equities</w:t>
            </w:r>
          </w:p>
        </w:tc>
      </w:tr>
      <w:tr>
        <w:tc>
          <w:tcPr>
            <w:tcW w:type="dxa" w:w="2160"/>
          </w:tcPr>
          <w:p>
            <w:r>
              <w:t>Unemployment</w:t>
            </w:r>
          </w:p>
        </w:tc>
        <w:tc>
          <w:tcPr>
            <w:tcW w:type="dxa" w:w="2160"/>
          </w:tcPr>
          <w:p>
            <w:r>
              <w:t>4.4%</w:t>
            </w:r>
          </w:p>
        </w:tc>
        <w:tc>
          <w:tcPr>
            <w:tcW w:type="dxa" w:w="2160"/>
          </w:tcPr>
          <w:p>
            <w:r>
              <w:t>Rising slowly</w:t>
            </w:r>
          </w:p>
        </w:tc>
        <w:tc>
          <w:tcPr>
            <w:tcW w:type="dxa" w:w="2160"/>
          </w:tcPr>
          <w:p>
            <w:r>
              <w:t>Negative — consumer spending slowing</w:t>
            </w:r>
          </w:p>
        </w:tc>
      </w:tr>
      <w:tr>
        <w:tc>
          <w:tcPr>
            <w:tcW w:type="dxa" w:w="2160"/>
          </w:tcPr>
          <w:p>
            <w:r>
              <w:t>Job Growth</w:t>
            </w:r>
          </w:p>
        </w:tc>
        <w:tc>
          <w:tcPr>
            <w:tcW w:type="dxa" w:w="2160"/>
          </w:tcPr>
          <w:p>
            <w:r>
              <w:t>~67,000/month avg</w:t>
            </w:r>
          </w:p>
        </w:tc>
        <w:tc>
          <w:tcPr>
            <w:tcW w:type="dxa" w:w="2160"/>
          </w:tcPr>
          <w:p>
            <w:r>
              <w:t>Declining</w:t>
            </w:r>
          </w:p>
        </w:tc>
        <w:tc>
          <w:tcPr>
            <w:tcW w:type="dxa" w:w="2160"/>
          </w:tcPr>
          <w:p>
            <w:r>
              <w:t>Cautionary — hiring freeze outside healthcare</w:t>
            </w:r>
          </w:p>
        </w:tc>
      </w:tr>
      <w:tr>
        <w:tc>
          <w:tcPr>
            <w:tcW w:type="dxa" w:w="2160"/>
          </w:tcPr>
          <w:p>
            <w:r>
              <w:t>Consumer Spending</w:t>
            </w:r>
          </w:p>
        </w:tc>
        <w:tc>
          <w:tcPr>
            <w:tcW w:type="dxa" w:w="2160"/>
          </w:tcPr>
          <w:p>
            <w:r>
              <w:t>1.6% growth (2026 est.)</w:t>
            </w:r>
          </w:p>
        </w:tc>
        <w:tc>
          <w:tcPr>
            <w:tcW w:type="dxa" w:w="2160"/>
          </w:tcPr>
          <w:p>
            <w:r>
              <w:t>Slowing</w:t>
            </w:r>
          </w:p>
        </w:tc>
        <w:tc>
          <w:tcPr>
            <w:tcW w:type="dxa" w:w="2160"/>
          </w:tcPr>
          <w:p>
            <w:r>
              <w:t>Negative — from 2.6% in 2025</w:t>
            </w:r>
          </w:p>
        </w:tc>
      </w:tr>
      <w:tr>
        <w:tc>
          <w:tcPr>
            <w:tcW w:type="dxa" w:w="2160"/>
          </w:tcPr>
          <w:p>
            <w:r>
              <w:t>AI Investment</w:t>
            </w:r>
          </w:p>
        </w:tc>
        <w:tc>
          <w:tcPr>
            <w:tcW w:type="dxa" w:w="2160"/>
          </w:tcPr>
          <w:p>
            <w:r>
              <w:t>$500B+ in 2025 alone</w:t>
            </w:r>
          </w:p>
        </w:tc>
        <w:tc>
          <w:tcPr>
            <w:tcW w:type="dxa" w:w="2160"/>
          </w:tcPr>
          <w:p>
            <w:r>
              <w:t>Accelerating</w:t>
            </w:r>
          </w:p>
        </w:tc>
        <w:tc>
          <w:tcPr>
            <w:tcW w:type="dxa" w:w="2160"/>
          </w:tcPr>
          <w:p>
            <w:r>
              <w:t>Positive — driving earnings growth</w:t>
            </w:r>
          </w:p>
        </w:tc>
      </w:tr>
      <w:tr>
        <w:tc>
          <w:tcPr>
            <w:tcW w:type="dxa" w:w="2160"/>
          </w:tcPr>
          <w:p>
            <w:r>
              <w:t>Tariff Impact</w:t>
            </w:r>
          </w:p>
        </w:tc>
        <w:tc>
          <w:tcPr>
            <w:tcW w:type="dxa" w:w="2160"/>
          </w:tcPr>
          <w:p>
            <w:r>
              <w:t>Elevated</w:t>
            </w:r>
          </w:p>
        </w:tc>
        <w:tc>
          <w:tcPr>
            <w:tcW w:type="dxa" w:w="2160"/>
          </w:tcPr>
          <w:p>
            <w:r>
              <w:t>Ongoing</w:t>
            </w:r>
          </w:p>
        </w:tc>
        <w:tc>
          <w:tcPr>
            <w:tcW w:type="dxa" w:w="2160"/>
          </w:tcPr>
          <w:p>
            <w:r>
              <w:t>Negative — pushing up consumer prices</w:t>
            </w:r>
          </w:p>
        </w:tc>
      </w:tr>
    </w:tbl>
    <w:p>
      <w:pPr>
        <w:pStyle w:val="Heading2"/>
      </w:pPr>
      <w:r>
        <w:t>1.2 Federal Reserve &amp; Interest Rates</w:t>
      </w:r>
    </w:p>
    <w:p>
      <w:r>
        <w:t>The Federal Reserve held rates steady at 3.50-3.75% at its January 28, 2026 meeting, pausing after 175 basis points of cuts since September 2024. Markets expect 1-2 more cuts in 2026, likely starting in June at the earliest.</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Date</w:t>
            </w:r>
          </w:p>
        </w:tc>
        <w:tc>
          <w:tcPr>
            <w:tcW w:type="dxa" w:w="2880"/>
          </w:tcPr>
          <w:p>
            <w:r>
              <w:rPr>
                <w:b/>
              </w:rPr>
              <w:t>Fed Funds Rate</w:t>
            </w:r>
          </w:p>
        </w:tc>
        <w:tc>
          <w:tcPr>
            <w:tcW w:type="dxa" w:w="2880"/>
          </w:tcPr>
          <w:p>
            <w:r>
              <w:rPr>
                <w:b/>
              </w:rPr>
              <w:t>Action</w:t>
            </w:r>
          </w:p>
        </w:tc>
      </w:tr>
      <w:tr>
        <w:tc>
          <w:tcPr>
            <w:tcW w:type="dxa" w:w="2880"/>
          </w:tcPr>
          <w:p>
            <w:r>
              <w:t>Sep 2024</w:t>
            </w:r>
          </w:p>
        </w:tc>
        <w:tc>
          <w:tcPr>
            <w:tcW w:type="dxa" w:w="2880"/>
          </w:tcPr>
          <w:p>
            <w:r>
              <w:t>4.75-5.00%</w:t>
            </w:r>
          </w:p>
        </w:tc>
        <w:tc>
          <w:tcPr>
            <w:tcW w:type="dxa" w:w="2880"/>
          </w:tcPr>
          <w:p>
            <w:r>
              <w:t>First cut (-50bp)</w:t>
            </w:r>
          </w:p>
        </w:tc>
      </w:tr>
      <w:tr>
        <w:tc>
          <w:tcPr>
            <w:tcW w:type="dxa" w:w="2880"/>
          </w:tcPr>
          <w:p>
            <w:r>
              <w:t>Nov 2024</w:t>
            </w:r>
          </w:p>
        </w:tc>
        <w:tc>
          <w:tcPr>
            <w:tcW w:type="dxa" w:w="2880"/>
          </w:tcPr>
          <w:p>
            <w:r>
              <w:t>4.50-4.75%</w:t>
            </w:r>
          </w:p>
        </w:tc>
        <w:tc>
          <w:tcPr>
            <w:tcW w:type="dxa" w:w="2880"/>
          </w:tcPr>
          <w:p>
            <w:r>
              <w:t>Cut (-25bp)</w:t>
            </w:r>
          </w:p>
        </w:tc>
      </w:tr>
      <w:tr>
        <w:tc>
          <w:tcPr>
            <w:tcW w:type="dxa" w:w="2880"/>
          </w:tcPr>
          <w:p>
            <w:r>
              <w:t>Dec 2024</w:t>
            </w:r>
          </w:p>
        </w:tc>
        <w:tc>
          <w:tcPr>
            <w:tcW w:type="dxa" w:w="2880"/>
          </w:tcPr>
          <w:p>
            <w:r>
              <w:t>4.25-4.50%</w:t>
            </w:r>
          </w:p>
        </w:tc>
        <w:tc>
          <w:tcPr>
            <w:tcW w:type="dxa" w:w="2880"/>
          </w:tcPr>
          <w:p>
            <w:r>
              <w:t>Cut (-25bp)</w:t>
            </w:r>
          </w:p>
        </w:tc>
      </w:tr>
      <w:tr>
        <w:tc>
          <w:tcPr>
            <w:tcW w:type="dxa" w:w="2880"/>
          </w:tcPr>
          <w:p>
            <w:r>
              <w:t>Mar 2025</w:t>
            </w:r>
          </w:p>
        </w:tc>
        <w:tc>
          <w:tcPr>
            <w:tcW w:type="dxa" w:w="2880"/>
          </w:tcPr>
          <w:p>
            <w:r>
              <w:t>4.00-4.25%</w:t>
            </w:r>
          </w:p>
        </w:tc>
        <w:tc>
          <w:tcPr>
            <w:tcW w:type="dxa" w:w="2880"/>
          </w:tcPr>
          <w:p>
            <w:r>
              <w:t>Cut (-25bp)</w:t>
            </w:r>
          </w:p>
        </w:tc>
      </w:tr>
      <w:tr>
        <w:tc>
          <w:tcPr>
            <w:tcW w:type="dxa" w:w="2880"/>
          </w:tcPr>
          <w:p>
            <w:r>
              <w:t>Jun 2025</w:t>
            </w:r>
          </w:p>
        </w:tc>
        <w:tc>
          <w:tcPr>
            <w:tcW w:type="dxa" w:w="2880"/>
          </w:tcPr>
          <w:p>
            <w:r>
              <w:t>3.75-4.00%</w:t>
            </w:r>
          </w:p>
        </w:tc>
        <w:tc>
          <w:tcPr>
            <w:tcW w:type="dxa" w:w="2880"/>
          </w:tcPr>
          <w:p>
            <w:r>
              <w:t>Cut (-25bp)</w:t>
            </w:r>
          </w:p>
        </w:tc>
      </w:tr>
      <w:tr>
        <w:tc>
          <w:tcPr>
            <w:tcW w:type="dxa" w:w="2880"/>
          </w:tcPr>
          <w:p>
            <w:r>
              <w:t>Dec 2025</w:t>
            </w:r>
          </w:p>
        </w:tc>
        <w:tc>
          <w:tcPr>
            <w:tcW w:type="dxa" w:w="2880"/>
          </w:tcPr>
          <w:p>
            <w:r>
              <w:t>3.50-3.75%</w:t>
            </w:r>
          </w:p>
        </w:tc>
        <w:tc>
          <w:tcPr>
            <w:tcW w:type="dxa" w:w="2880"/>
          </w:tcPr>
          <w:p>
            <w:r>
              <w:t>Cut (-25bp)</w:t>
            </w:r>
          </w:p>
        </w:tc>
      </w:tr>
      <w:tr>
        <w:tc>
          <w:tcPr>
            <w:tcW w:type="dxa" w:w="2880"/>
          </w:tcPr>
          <w:p>
            <w:r>
              <w:t>Jan 2026</w:t>
            </w:r>
          </w:p>
        </w:tc>
        <w:tc>
          <w:tcPr>
            <w:tcW w:type="dxa" w:w="2880"/>
          </w:tcPr>
          <w:p>
            <w:r>
              <w:t>3.50-3.75%</w:t>
            </w:r>
          </w:p>
        </w:tc>
        <w:tc>
          <w:tcPr>
            <w:tcW w:type="dxa" w:w="2880"/>
          </w:tcPr>
          <w:p>
            <w:r>
              <w:t>HOLD (current)</w:t>
            </w:r>
          </w:p>
        </w:tc>
      </w:tr>
      <w:tr>
        <w:tc>
          <w:tcPr>
            <w:tcW w:type="dxa" w:w="2880"/>
          </w:tcPr>
          <w:p>
            <w:r>
              <w:t>Jun 2026 (est.)</w:t>
            </w:r>
          </w:p>
        </w:tc>
        <w:tc>
          <w:tcPr>
            <w:tcW w:type="dxa" w:w="2880"/>
          </w:tcPr>
          <w:p>
            <w:r>
              <w:t>3.25-3.50%</w:t>
            </w:r>
          </w:p>
        </w:tc>
        <w:tc>
          <w:tcPr>
            <w:tcW w:type="dxa" w:w="2880"/>
          </w:tcPr>
          <w:p>
            <w:r>
              <w:t>Expected cut (-25bp)</w:t>
            </w:r>
          </w:p>
        </w:tc>
      </w:tr>
    </w:tbl>
    <w:p>
      <w:r>
        <w:t>Key wildcard: Fed Chair Powell's term expires May 2026. A new chair could shift policy direction. This creates short-term uncertainty but unlikely to cause major disruptions.</w:t>
      </w:r>
    </w:p>
    <w:p>
      <w:pPr>
        <w:pStyle w:val="Heading2"/>
      </w:pPr>
      <w:r>
        <w:t>1.3 Inflation Environment</w:t>
      </w:r>
    </w:p>
    <w:p>
      <w:r>
        <w:t>Inflation has moderated significantly from 2022-2023 peaks but remains above the Fed's 2% target. December 2025 CPI was 2.7% year-over-year. Core PCE (the Fed's preferred gauge) is expected to settle at 2.4-2.5% in 2026.</w:t>
      </w:r>
    </w:p>
    <w:p>
      <w:pPr>
        <w:pStyle w:val="ListBullet"/>
      </w:pPr>
      <w:r>
        <w:t>CPI (Dec 2025): 2.7% — down from 3.0% in September</w:t>
      </w:r>
    </w:p>
    <w:p>
      <w:pPr>
        <w:pStyle w:val="ListBullet"/>
      </w:pPr>
      <w:r>
        <w:t>Core PCE (2026 forecast): 2.4-2.5%</w:t>
      </w:r>
    </w:p>
    <w:p>
      <w:pPr>
        <w:pStyle w:val="ListBullet"/>
      </w:pPr>
      <w:r>
        <w:t>Tariffs are adding 0.3-0.5% to inflation — expected to fade by late 2026</w:t>
      </w:r>
    </w:p>
    <w:p>
      <w:pPr>
        <w:pStyle w:val="ListBullet"/>
      </w:pPr>
      <w:r>
        <w:t>Wage growth declining as labor market loosens</w:t>
      </w:r>
    </w:p>
    <w:p>
      <w:pPr>
        <w:pStyle w:val="ListBullet"/>
      </w:pPr>
      <w:r>
        <w:t>Consumer inflation expectations remain elevated — a risk factor</w:t>
      </w:r>
    </w:p>
    <w:p>
      <w:r>
        <w:t>Implication for investors: Real returns on savings accounts and bonds are modestly positive. Inflation-protected securities (TIPS) remain relevant. Equities needed for long-term purchasing power preservation.</w:t>
      </w:r>
    </w:p>
    <w:p>
      <w:pPr>
        <w:pStyle w:val="Heading2"/>
      </w:pPr>
      <w:r>
        <w:t>1.4 Stock Market Conditions</w:t>
      </w:r>
    </w:p>
    <w:p>
      <w:r>
        <w:t>The S&amp;P 500 posted its third consecutive year of double-digit gains in 2025, driven heavily by AI-related stocks. However, dispersion is increasing — approximately 40% of S&amp;P 500 constituents had negative returns in 2025, suggesting a more selective market ahead.</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Asset</w:t>
            </w:r>
          </w:p>
        </w:tc>
        <w:tc>
          <w:tcPr>
            <w:tcW w:type="dxa" w:w="2160"/>
          </w:tcPr>
          <w:p>
            <w:r>
              <w:rPr>
                <w:b/>
              </w:rPr>
              <w:t>2024 Return</w:t>
            </w:r>
          </w:p>
        </w:tc>
        <w:tc>
          <w:tcPr>
            <w:tcW w:type="dxa" w:w="2160"/>
          </w:tcPr>
          <w:p>
            <w:r>
              <w:rPr>
                <w:b/>
              </w:rPr>
              <w:t>2025 Return</w:t>
            </w:r>
          </w:p>
        </w:tc>
        <w:tc>
          <w:tcPr>
            <w:tcW w:type="dxa" w:w="2160"/>
          </w:tcPr>
          <w:p>
            <w:r>
              <w:rPr>
                <w:b/>
              </w:rPr>
              <w:t>2026 Outlook</w:t>
            </w:r>
          </w:p>
        </w:tc>
      </w:tr>
      <w:tr>
        <w:tc>
          <w:tcPr>
            <w:tcW w:type="dxa" w:w="2160"/>
          </w:tcPr>
          <w:p>
            <w:r>
              <w:t>S&amp;P 500</w:t>
            </w:r>
          </w:p>
        </w:tc>
        <w:tc>
          <w:tcPr>
            <w:tcW w:type="dxa" w:w="2160"/>
          </w:tcPr>
          <w:p>
            <w:r>
              <w:t>+24.2%</w:t>
            </w:r>
          </w:p>
        </w:tc>
        <w:tc>
          <w:tcPr>
            <w:tcW w:type="dxa" w:w="2160"/>
          </w:tcPr>
          <w:p>
            <w:r>
              <w:t>+14.8%</w:t>
            </w:r>
          </w:p>
        </w:tc>
        <w:tc>
          <w:tcPr>
            <w:tcW w:type="dxa" w:w="2160"/>
          </w:tcPr>
          <w:p>
            <w:r>
              <w:t>Moderate (+8-12%)</w:t>
            </w:r>
          </w:p>
        </w:tc>
      </w:tr>
      <w:tr>
        <w:tc>
          <w:tcPr>
            <w:tcW w:type="dxa" w:w="2160"/>
          </w:tcPr>
          <w:p>
            <w:r>
              <w:t>Nasdaq 100</w:t>
            </w:r>
          </w:p>
        </w:tc>
        <w:tc>
          <w:tcPr>
            <w:tcW w:type="dxa" w:w="2160"/>
          </w:tcPr>
          <w:p>
            <w:r>
              <w:t>+25.6%</w:t>
            </w:r>
          </w:p>
        </w:tc>
        <w:tc>
          <w:tcPr>
            <w:tcW w:type="dxa" w:w="2160"/>
          </w:tcPr>
          <w:p>
            <w:r>
              <w:t>+18.3%</w:t>
            </w:r>
          </w:p>
        </w:tc>
        <w:tc>
          <w:tcPr>
            <w:tcW w:type="dxa" w:w="2160"/>
          </w:tcPr>
          <w:p>
            <w:r>
              <w:t>Moderate-High (+10-15%)</w:t>
            </w:r>
          </w:p>
        </w:tc>
      </w:tr>
      <w:tr>
        <w:tc>
          <w:tcPr>
            <w:tcW w:type="dxa" w:w="2160"/>
          </w:tcPr>
          <w:p>
            <w:r>
              <w:t>Russell 2000 (Small Cap)</w:t>
            </w:r>
          </w:p>
        </w:tc>
        <w:tc>
          <w:tcPr>
            <w:tcW w:type="dxa" w:w="2160"/>
          </w:tcPr>
          <w:p>
            <w:r>
              <w:t>+10.0%</w:t>
            </w:r>
          </w:p>
        </w:tc>
        <w:tc>
          <w:tcPr>
            <w:tcW w:type="dxa" w:w="2160"/>
          </w:tcPr>
          <w:p>
            <w:r>
              <w:t>-2.1%</w:t>
            </w:r>
          </w:p>
        </w:tc>
        <w:tc>
          <w:tcPr>
            <w:tcW w:type="dxa" w:w="2160"/>
          </w:tcPr>
          <w:p>
            <w:r>
              <w:t>Recovery potential (+5-10%)</w:t>
            </w:r>
          </w:p>
        </w:tc>
      </w:tr>
      <w:tr>
        <w:tc>
          <w:tcPr>
            <w:tcW w:type="dxa" w:w="2160"/>
          </w:tcPr>
          <w:p>
            <w:r>
              <w:t>MSCI International</w:t>
            </w:r>
          </w:p>
        </w:tc>
        <w:tc>
          <w:tcPr>
            <w:tcW w:type="dxa" w:w="2160"/>
          </w:tcPr>
          <w:p>
            <w:r>
              <w:t>+4.7%</w:t>
            </w:r>
          </w:p>
        </w:tc>
        <w:tc>
          <w:tcPr>
            <w:tcW w:type="dxa" w:w="2160"/>
          </w:tcPr>
          <w:p>
            <w:r>
              <w:t>+8.2%</w:t>
            </w:r>
          </w:p>
        </w:tc>
        <w:tc>
          <w:tcPr>
            <w:tcW w:type="dxa" w:w="2160"/>
          </w:tcPr>
          <w:p>
            <w:r>
              <w:t>Improving fundamentals</w:t>
            </w:r>
          </w:p>
        </w:tc>
      </w:tr>
      <w:tr>
        <w:tc>
          <w:tcPr>
            <w:tcW w:type="dxa" w:w="2160"/>
          </w:tcPr>
          <w:p>
            <w:r>
              <w:t>S&amp;P 500 P/E Ratio</w:t>
            </w:r>
          </w:p>
        </w:tc>
        <w:tc>
          <w:tcPr>
            <w:tcW w:type="dxa" w:w="2160"/>
          </w:tcPr>
          <w:p>
            <w:r>
              <w:t>~22x</w:t>
            </w:r>
          </w:p>
        </w:tc>
        <w:tc>
          <w:tcPr>
            <w:tcW w:type="dxa" w:w="2160"/>
          </w:tcPr>
          <w:p>
            <w:r>
              <w:t>~23x</w:t>
            </w:r>
          </w:p>
        </w:tc>
        <w:tc>
          <w:tcPr>
            <w:tcW w:type="dxa" w:w="2160"/>
          </w:tcPr>
          <w:p>
            <w:r>
              <w:t>Elevated — selectivity needed</w:t>
            </w:r>
          </w:p>
        </w:tc>
      </w:tr>
    </w:tbl>
    <w:p>
      <w:pPr>
        <w:pStyle w:val="ListBullet"/>
      </w:pPr>
      <w:r>
        <w:t>AI remains the dominant investment theme — $5-8 trillion in infrastructure spending expected through 2030</w:t>
      </w:r>
    </w:p>
    <w:p>
      <w:pPr>
        <w:pStyle w:val="ListBullet"/>
      </w:pPr>
      <w:r>
        <w:t>BlackRock suggests 2026 will be "an investor's market" requiring thoughtful position sizing</w:t>
      </w:r>
    </w:p>
    <w:p>
      <w:pPr>
        <w:pStyle w:val="ListBullet"/>
      </w:pPr>
      <w:r>
        <w:t>Earnings growth of 13-15% projected for S&amp;P 500 (J.P. Morgan)</w:t>
      </w:r>
    </w:p>
    <w:p>
      <w:pPr>
        <w:pStyle w:val="ListBullet"/>
      </w:pPr>
      <w:r>
        <w:t>Concentration risk: Top 10 stocks = 35%+ of S&amp;P 500 — diversification matters more</w:t>
      </w:r>
    </w:p>
    <w:p>
      <w:pPr>
        <w:pStyle w:val="Heading2"/>
      </w:pPr>
      <w:r>
        <w:t>1.5 Bond Market Conditions</w:t>
      </w:r>
    </w:p>
    <w:p>
      <w:r>
        <w:t>Bonds delivered a solid 7% return in 2025, recovering their traditional portfolio role. With the Fed pausing, intermediate-term bonds offer an attractive yield-to-risk ratio.</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Bond Type</w:t>
            </w:r>
          </w:p>
        </w:tc>
        <w:tc>
          <w:tcPr>
            <w:tcW w:type="dxa" w:w="2160"/>
          </w:tcPr>
          <w:p>
            <w:r>
              <w:rPr>
                <w:b/>
              </w:rPr>
              <w:t>Current Yield</w:t>
            </w:r>
          </w:p>
        </w:tc>
        <w:tc>
          <w:tcPr>
            <w:tcW w:type="dxa" w:w="2160"/>
          </w:tcPr>
          <w:p>
            <w:r>
              <w:rPr>
                <w:b/>
              </w:rPr>
              <w:t>Risk Level</w:t>
            </w:r>
          </w:p>
        </w:tc>
        <w:tc>
          <w:tcPr>
            <w:tcW w:type="dxa" w:w="2160"/>
          </w:tcPr>
          <w:p>
            <w:r>
              <w:rPr>
                <w:b/>
              </w:rPr>
              <w:t>Recommendation</w:t>
            </w:r>
          </w:p>
        </w:tc>
      </w:tr>
      <w:tr>
        <w:tc>
          <w:tcPr>
            <w:tcW w:type="dxa" w:w="2160"/>
          </w:tcPr>
          <w:p>
            <w:r>
              <w:t>High-Yield Savings</w:t>
            </w:r>
          </w:p>
        </w:tc>
        <w:tc>
          <w:tcPr>
            <w:tcW w:type="dxa" w:w="2160"/>
          </w:tcPr>
          <w:p>
            <w:r>
              <w:t>4.0-4.3% APY</w:t>
            </w:r>
          </w:p>
        </w:tc>
        <w:tc>
          <w:tcPr>
            <w:tcW w:type="dxa" w:w="2160"/>
          </w:tcPr>
          <w:p>
            <w:r>
              <w:t>None (FDIC insured)</w:t>
            </w:r>
          </w:p>
        </w:tc>
        <w:tc>
          <w:tcPr>
            <w:tcW w:type="dxa" w:w="2160"/>
          </w:tcPr>
          <w:p>
            <w:r>
              <w:t>Strong for emergency fund</w:t>
            </w:r>
          </w:p>
        </w:tc>
      </w:tr>
      <w:tr>
        <w:tc>
          <w:tcPr>
            <w:tcW w:type="dxa" w:w="2160"/>
          </w:tcPr>
          <w:p>
            <w:r>
              <w:t>3-Month T-Bill</w:t>
            </w:r>
          </w:p>
        </w:tc>
        <w:tc>
          <w:tcPr>
            <w:tcW w:type="dxa" w:w="2160"/>
          </w:tcPr>
          <w:p>
            <w:r>
              <w:t>~3.6%</w:t>
            </w:r>
          </w:p>
        </w:tc>
        <w:tc>
          <w:tcPr>
            <w:tcW w:type="dxa" w:w="2160"/>
          </w:tcPr>
          <w:p>
            <w:r>
              <w:t>Very Low</w:t>
            </w:r>
          </w:p>
        </w:tc>
        <w:tc>
          <w:tcPr>
            <w:tcW w:type="dxa" w:w="2160"/>
          </w:tcPr>
          <w:p>
            <w:r>
              <w:t>Park short-term cash</w:t>
            </w:r>
          </w:p>
        </w:tc>
      </w:tr>
      <w:tr>
        <w:tc>
          <w:tcPr>
            <w:tcW w:type="dxa" w:w="2160"/>
          </w:tcPr>
          <w:p>
            <w:r>
              <w:t>2-Year Treasury</w:t>
            </w:r>
          </w:p>
        </w:tc>
        <w:tc>
          <w:tcPr>
            <w:tcW w:type="dxa" w:w="2160"/>
          </w:tcPr>
          <w:p>
            <w:r>
              <w:t>~3.8%</w:t>
            </w:r>
          </w:p>
        </w:tc>
        <w:tc>
          <w:tcPr>
            <w:tcW w:type="dxa" w:w="2160"/>
          </w:tcPr>
          <w:p>
            <w:r>
              <w:t>Low</w:t>
            </w:r>
          </w:p>
        </w:tc>
        <w:tc>
          <w:tcPr>
            <w:tcW w:type="dxa" w:w="2160"/>
          </w:tcPr>
          <w:p>
            <w:r>
              <w:t>Good for 1-2 year horizon</w:t>
            </w:r>
          </w:p>
        </w:tc>
      </w:tr>
      <w:tr>
        <w:tc>
          <w:tcPr>
            <w:tcW w:type="dxa" w:w="2160"/>
          </w:tcPr>
          <w:p>
            <w:r>
              <w:t>10-Year Treasury</w:t>
            </w:r>
          </w:p>
        </w:tc>
        <w:tc>
          <w:tcPr>
            <w:tcW w:type="dxa" w:w="2160"/>
          </w:tcPr>
          <w:p>
            <w:r>
              <w:t>~4.1%</w:t>
            </w:r>
          </w:p>
        </w:tc>
        <w:tc>
          <w:tcPr>
            <w:tcW w:type="dxa" w:w="2160"/>
          </w:tcPr>
          <w:p>
            <w:r>
              <w:t>Moderate</w:t>
            </w:r>
          </w:p>
        </w:tc>
        <w:tc>
          <w:tcPr>
            <w:tcW w:type="dxa" w:w="2160"/>
          </w:tcPr>
          <w:p>
            <w:r>
              <w:t>Core bond allocation</w:t>
            </w:r>
          </w:p>
        </w:tc>
      </w:tr>
      <w:tr>
        <w:tc>
          <w:tcPr>
            <w:tcW w:type="dxa" w:w="2160"/>
          </w:tcPr>
          <w:p>
            <w:r>
              <w:t>TIPS (Inflation-Protected)</w:t>
            </w:r>
          </w:p>
        </w:tc>
        <w:tc>
          <w:tcPr>
            <w:tcW w:type="dxa" w:w="2160"/>
          </w:tcPr>
          <w:p>
            <w:r>
              <w:t>~1.8% + CPI</w:t>
            </w:r>
          </w:p>
        </w:tc>
        <w:tc>
          <w:tcPr>
            <w:tcW w:type="dxa" w:w="2160"/>
          </w:tcPr>
          <w:p>
            <w:r>
              <w:t>Low</w:t>
            </w:r>
          </w:p>
        </w:tc>
        <w:tc>
          <w:tcPr>
            <w:tcW w:type="dxa" w:w="2160"/>
          </w:tcPr>
          <w:p>
            <w:r>
              <w:t>Hedge against inflation surprise</w:t>
            </w:r>
          </w:p>
        </w:tc>
      </w:tr>
      <w:tr>
        <w:tc>
          <w:tcPr>
            <w:tcW w:type="dxa" w:w="2160"/>
          </w:tcPr>
          <w:p>
            <w:r>
              <w:t>Corporate Bonds (IG)</w:t>
            </w:r>
          </w:p>
        </w:tc>
        <w:tc>
          <w:tcPr>
            <w:tcW w:type="dxa" w:w="2160"/>
          </w:tcPr>
          <w:p>
            <w:r>
              <w:t>~5.0%</w:t>
            </w:r>
          </w:p>
        </w:tc>
        <w:tc>
          <w:tcPr>
            <w:tcW w:type="dxa" w:w="2160"/>
          </w:tcPr>
          <w:p>
            <w:r>
              <w:t>Moderate</w:t>
            </w:r>
          </w:p>
        </w:tc>
        <w:tc>
          <w:tcPr>
            <w:tcW w:type="dxa" w:w="2160"/>
          </w:tcPr>
          <w:p>
            <w:r>
              <w:t>Income seekers</w:t>
            </w:r>
          </w:p>
        </w:tc>
      </w:tr>
      <w:tr>
        <w:tc>
          <w:tcPr>
            <w:tcW w:type="dxa" w:w="2160"/>
          </w:tcPr>
          <w:p>
            <w:r>
              <w:t>High-Yield Corporate</w:t>
            </w:r>
          </w:p>
        </w:tc>
        <w:tc>
          <w:tcPr>
            <w:tcW w:type="dxa" w:w="2160"/>
          </w:tcPr>
          <w:p>
            <w:r>
              <w:t>~7.5%</w:t>
            </w:r>
          </w:p>
        </w:tc>
        <w:tc>
          <w:tcPr>
            <w:tcW w:type="dxa" w:w="2160"/>
          </w:tcPr>
          <w:p>
            <w:r>
              <w:t>Higher</w:t>
            </w:r>
          </w:p>
        </w:tc>
        <w:tc>
          <w:tcPr>
            <w:tcW w:type="dxa" w:w="2160"/>
          </w:tcPr>
          <w:p>
            <w:r>
              <w:t>Only for risk-tolerant</w:t>
            </w:r>
          </w:p>
        </w:tc>
      </w:tr>
      <w:tr>
        <w:tc>
          <w:tcPr>
            <w:tcW w:type="dxa" w:w="2160"/>
          </w:tcPr>
          <w:p>
            <w:r>
              <w:t>Municipal Bonds</w:t>
            </w:r>
          </w:p>
        </w:tc>
        <w:tc>
          <w:tcPr>
            <w:tcW w:type="dxa" w:w="2160"/>
          </w:tcPr>
          <w:p>
            <w:r>
              <w:t>~3.5% (tax-equiv ~5.5%)</w:t>
            </w:r>
          </w:p>
        </w:tc>
        <w:tc>
          <w:tcPr>
            <w:tcW w:type="dxa" w:w="2160"/>
          </w:tcPr>
          <w:p>
            <w:r>
              <w:t>Low-Moderate</w:t>
            </w:r>
          </w:p>
        </w:tc>
        <w:tc>
          <w:tcPr>
            <w:tcW w:type="dxa" w:w="2160"/>
          </w:tcPr>
          <w:p>
            <w:r>
              <w:t>High earners - tax efficient</w:t>
            </w:r>
          </w:p>
        </w:tc>
      </w:tr>
    </w:tbl>
    <w:p>
      <w:pPr>
        <w:pStyle w:val="Heading2"/>
      </w:pPr>
      <w:r>
        <w:t>1.6 Cryptocurrency &amp; Alternative Assets</w:t>
      </w:r>
    </w:p>
    <w:p>
      <w:r>
        <w:t>2025 was a correction year for crypto after massive 2024 gains. Bitcoin hit all-time highs above $126,000 in October 2025 but fell back below $90,000 by December. The "digital gold" narrative weakened as actual gold surged 70% while Bitcoin declined.</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Asset</w:t>
            </w:r>
          </w:p>
        </w:tc>
        <w:tc>
          <w:tcPr>
            <w:tcW w:type="dxa" w:w="1728"/>
          </w:tcPr>
          <w:p>
            <w:r>
              <w:rPr>
                <w:b/>
              </w:rPr>
              <w:t>2024 Return</w:t>
            </w:r>
          </w:p>
        </w:tc>
        <w:tc>
          <w:tcPr>
            <w:tcW w:type="dxa" w:w="1728"/>
          </w:tcPr>
          <w:p>
            <w:r>
              <w:rPr>
                <w:b/>
              </w:rPr>
              <w:t>2025 Return</w:t>
            </w:r>
          </w:p>
        </w:tc>
        <w:tc>
          <w:tcPr>
            <w:tcW w:type="dxa" w:w="1728"/>
          </w:tcPr>
          <w:p>
            <w:r>
              <w:rPr>
                <w:b/>
              </w:rPr>
              <w:t>Current Price (approx.)</w:t>
            </w:r>
          </w:p>
        </w:tc>
        <w:tc>
          <w:tcPr>
            <w:tcW w:type="dxa" w:w="1728"/>
          </w:tcPr>
          <w:p>
            <w:r>
              <w:rPr>
                <w:b/>
              </w:rPr>
              <w:t>Outlook</w:t>
            </w:r>
          </w:p>
        </w:tc>
      </w:tr>
      <w:tr>
        <w:tc>
          <w:tcPr>
            <w:tcW w:type="dxa" w:w="1728"/>
          </w:tcPr>
          <w:p>
            <w:r>
              <w:t>Bitcoin (BTC)</w:t>
            </w:r>
          </w:p>
        </w:tc>
        <w:tc>
          <w:tcPr>
            <w:tcW w:type="dxa" w:w="1728"/>
          </w:tcPr>
          <w:p>
            <w:r>
              <w:t>+120%</w:t>
            </w:r>
          </w:p>
        </w:tc>
        <w:tc>
          <w:tcPr>
            <w:tcW w:type="dxa" w:w="1728"/>
          </w:tcPr>
          <w:p>
            <w:r>
              <w:t>-15%</w:t>
            </w:r>
          </w:p>
        </w:tc>
        <w:tc>
          <w:tcPr>
            <w:tcW w:type="dxa" w:w="1728"/>
          </w:tcPr>
          <w:p>
            <w:r>
              <w:t>~$88,000</w:t>
            </w:r>
          </w:p>
        </w:tc>
        <w:tc>
          <w:tcPr>
            <w:tcW w:type="dxa" w:w="1728"/>
          </w:tcPr>
          <w:p>
            <w:r>
              <w:t>Uncertain, regulatory tailwinds</w:t>
            </w:r>
          </w:p>
        </w:tc>
      </w:tr>
      <w:tr>
        <w:tc>
          <w:tcPr>
            <w:tcW w:type="dxa" w:w="1728"/>
          </w:tcPr>
          <w:p>
            <w:r>
              <w:t>Ethereum (ETH)</w:t>
            </w:r>
          </w:p>
        </w:tc>
        <w:tc>
          <w:tcPr>
            <w:tcW w:type="dxa" w:w="1728"/>
          </w:tcPr>
          <w:p>
            <w:r>
              <w:t>+52%</w:t>
            </w:r>
          </w:p>
        </w:tc>
        <w:tc>
          <w:tcPr>
            <w:tcW w:type="dxa" w:w="1728"/>
          </w:tcPr>
          <w:p>
            <w:r>
              <w:t>-12%</w:t>
            </w:r>
          </w:p>
        </w:tc>
        <w:tc>
          <w:tcPr>
            <w:tcW w:type="dxa" w:w="1728"/>
          </w:tcPr>
          <w:p>
            <w:r>
              <w:t>~$2,900</w:t>
            </w:r>
          </w:p>
        </w:tc>
        <w:tc>
          <w:tcPr>
            <w:tcW w:type="dxa" w:w="1728"/>
          </w:tcPr>
          <w:p>
            <w:r>
              <w:t>Staking yield attractive</w:t>
            </w:r>
          </w:p>
        </w:tc>
      </w:tr>
      <w:tr>
        <w:tc>
          <w:tcPr>
            <w:tcW w:type="dxa" w:w="1728"/>
          </w:tcPr>
          <w:p>
            <w:r>
              <w:t>Solana (SOL)</w:t>
            </w:r>
          </w:p>
        </w:tc>
        <w:tc>
          <w:tcPr>
            <w:tcW w:type="dxa" w:w="1728"/>
          </w:tcPr>
          <w:p>
            <w:r>
              <w:t>+600%</w:t>
            </w:r>
          </w:p>
        </w:tc>
        <w:tc>
          <w:tcPr>
            <w:tcW w:type="dxa" w:w="1728"/>
          </w:tcPr>
          <w:p>
            <w:r>
              <w:t>-34%</w:t>
            </w:r>
          </w:p>
        </w:tc>
        <w:tc>
          <w:tcPr>
            <w:tcW w:type="dxa" w:w="1728"/>
          </w:tcPr>
          <w:p>
            <w:r>
              <w:t>~$125</w:t>
            </w:r>
          </w:p>
        </w:tc>
        <w:tc>
          <w:tcPr>
            <w:tcW w:type="dxa" w:w="1728"/>
          </w:tcPr>
          <w:p>
            <w:r>
              <w:t>High risk/high reward</w:t>
            </w:r>
          </w:p>
        </w:tc>
      </w:tr>
      <w:tr>
        <w:tc>
          <w:tcPr>
            <w:tcW w:type="dxa" w:w="1728"/>
          </w:tcPr>
          <w:p>
            <w:r>
              <w:t>Gold</w:t>
            </w:r>
          </w:p>
        </w:tc>
        <w:tc>
          <w:tcPr>
            <w:tcW w:type="dxa" w:w="1728"/>
          </w:tcPr>
          <w:p>
            <w:r>
              <w:t>+28%</w:t>
            </w:r>
          </w:p>
        </w:tc>
        <w:tc>
          <w:tcPr>
            <w:tcW w:type="dxa" w:w="1728"/>
          </w:tcPr>
          <w:p>
            <w:r>
              <w:t>+70%</w:t>
            </w:r>
          </w:p>
        </w:tc>
        <w:tc>
          <w:tcPr>
            <w:tcW w:type="dxa" w:w="1728"/>
          </w:tcPr>
          <w:p>
            <w:r>
              <w:t>~$4,400/oz</w:t>
            </w:r>
          </w:p>
        </w:tc>
        <w:tc>
          <w:tcPr>
            <w:tcW w:type="dxa" w:w="1728"/>
          </w:tcPr>
          <w:p>
            <w:r>
              <w:t>Potential consolidation</w:t>
            </w:r>
          </w:p>
        </w:tc>
      </w:tr>
      <w:tr>
        <w:tc>
          <w:tcPr>
            <w:tcW w:type="dxa" w:w="1728"/>
          </w:tcPr>
          <w:p>
            <w:r>
              <w:t>Silver</w:t>
            </w:r>
          </w:p>
        </w:tc>
        <w:tc>
          <w:tcPr>
            <w:tcW w:type="dxa" w:w="1728"/>
          </w:tcPr>
          <w:p>
            <w:r>
              <w:t>+22%</w:t>
            </w:r>
          </w:p>
        </w:tc>
        <w:tc>
          <w:tcPr>
            <w:tcW w:type="dxa" w:w="1728"/>
          </w:tcPr>
          <w:p>
            <w:r>
              <w:t>+132%</w:t>
            </w:r>
          </w:p>
        </w:tc>
        <w:tc>
          <w:tcPr>
            <w:tcW w:type="dxa" w:w="1728"/>
          </w:tcPr>
          <w:p>
            <w:r>
              <w:t>~$55/oz</w:t>
            </w:r>
          </w:p>
        </w:tc>
        <w:tc>
          <w:tcPr>
            <w:tcW w:type="dxa" w:w="1728"/>
          </w:tcPr>
          <w:p>
            <w:r>
              <w:t>Potential consolidation</w:t>
            </w:r>
          </w:p>
        </w:tc>
      </w:tr>
    </w:tbl>
    <w:p>
      <w:pPr>
        <w:pStyle w:val="ListBullet"/>
      </w:pPr>
      <w:r>
        <w:t>Bitcoin ETFs now widely available at all major brokerages (commission-free)</w:t>
      </w:r>
    </w:p>
    <w:p>
      <w:pPr>
        <w:pStyle w:val="ListBullet"/>
      </w:pPr>
      <w:r>
        <w:t>Trump administration perceived as crypto-friendly — potential regulatory clarity</w:t>
      </w:r>
    </w:p>
    <w:p>
      <w:pPr>
        <w:pStyle w:val="ListBullet"/>
      </w:pPr>
      <w:r>
        <w:t>Gold's record run may pause, but geopolitical uncertainty provides floor</w:t>
      </w:r>
    </w:p>
    <w:p>
      <w:pPr>
        <w:pStyle w:val="ListBullet"/>
      </w:pPr>
      <w:r>
        <w:t>Crypto allocation should remain small (0-10%) due to extreme volatility</w:t>
      </w:r>
    </w:p>
    <w:p>
      <w:pPr>
        <w:pStyle w:val="Heading2"/>
      </w:pPr>
      <w:r>
        <w:t>1.7 Key Risks &amp; Opportunities</w:t>
      </w:r>
    </w:p>
    <w:p>
      <w:r>
        <w:t>RISKS:</w:t>
      </w:r>
    </w:p>
    <w:p>
      <w:pPr>
        <w:pStyle w:val="ListBullet"/>
      </w:pPr>
      <w:r>
        <w:t>Tariff escalation could spike inflation above 3%, delaying rate cuts</w:t>
      </w:r>
    </w:p>
    <w:p>
      <w:pPr>
        <w:pStyle w:val="ListBullet"/>
      </w:pPr>
      <w:r>
        <w:t>Labor market deterioration — job growth excluding healthcare is negative</w:t>
      </w:r>
    </w:p>
    <w:p>
      <w:pPr>
        <w:pStyle w:val="ListBullet"/>
      </w:pPr>
      <w:r>
        <w:t>Fed Chair transition in May 2026 creates policy uncertainty</w:t>
      </w:r>
    </w:p>
    <w:p>
      <w:pPr>
        <w:pStyle w:val="ListBullet"/>
      </w:pPr>
      <w:r>
        <w:t>S&amp;P 500 valuations stretched at 23x earnings — vulnerable to correction</w:t>
      </w:r>
    </w:p>
    <w:p>
      <w:pPr>
        <w:pStyle w:val="ListBullet"/>
      </w:pPr>
      <w:r>
        <w:t>Geopolitical risks (US-China trade, Middle East, Ukraine)</w:t>
      </w:r>
    </w:p>
    <w:p>
      <w:r>
        <w:t>OPPORTUNITIES:</w:t>
      </w:r>
    </w:p>
    <w:p>
      <w:pPr>
        <w:pStyle w:val="ListBullet"/>
      </w:pPr>
      <w:r>
        <w:t>AI infrastructure buildout is a multi-year secular trend</w:t>
      </w:r>
    </w:p>
    <w:p>
      <w:pPr>
        <w:pStyle w:val="ListBullet"/>
      </w:pPr>
      <w:r>
        <w:t>Rate cuts expected to resume mid-2026 — positive for bonds and rate-sensitive stocks</w:t>
      </w:r>
    </w:p>
    <w:p>
      <w:pPr>
        <w:pStyle w:val="ListBullet"/>
      </w:pPr>
      <w:r>
        <w:t>Small-cap stocks historically cheap relative to large-cap</w:t>
      </w:r>
    </w:p>
    <w:p>
      <w:pPr>
        <w:pStyle w:val="ListBullet"/>
      </w:pPr>
      <w:r>
        <w:t>International markets (especially Europe, Japan) showing improving fundamentals</w:t>
      </w:r>
    </w:p>
    <w:p>
      <w:pPr>
        <w:pStyle w:val="ListBullet"/>
      </w:pPr>
      <w:r>
        <w:t>High-yield savings still offering 4%+ — excellent for cash reserves</w:t>
      </w:r>
    </w:p>
    <w:p>
      <w:r>
        <w:br w:type="page"/>
      </w:r>
    </w:p>
    <w:p>
      <w:pPr>
        <w:pStyle w:val="Heading1"/>
      </w:pPr>
      <w:r>
        <w:t>Part 2: Investment Vehicles Overview</w:t>
      </w:r>
    </w:p>
    <w:p>
      <w:pPr>
        <w:pStyle w:val="Heading2"/>
      </w:pPr>
      <w:r>
        <w:t>2.1 High-Yield Savings Accounts (HYSA)</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rPr>
              <w:t>Feature</w:t>
            </w:r>
          </w:p>
        </w:tc>
        <w:tc>
          <w:tcPr>
            <w:tcW w:type="dxa" w:w="4320"/>
          </w:tcPr>
          <w:p>
            <w:r>
              <w:rPr>
                <w:b/>
              </w:rPr>
              <w:t>Details</w:t>
            </w:r>
          </w:p>
        </w:tc>
      </w:tr>
      <w:tr>
        <w:tc>
          <w:tcPr>
            <w:tcW w:type="dxa" w:w="4320"/>
          </w:tcPr>
          <w:p>
            <w:r>
              <w:t>Current Top Rates</w:t>
            </w:r>
          </w:p>
        </w:tc>
        <w:tc>
          <w:tcPr>
            <w:tcW w:type="dxa" w:w="4320"/>
          </w:tcPr>
          <w:p>
            <w:r>
              <w:t>4.0-4.35% APY (up to 5.0% for select banks)</w:t>
            </w:r>
          </w:p>
        </w:tc>
      </w:tr>
      <w:tr>
        <w:tc>
          <w:tcPr>
            <w:tcW w:type="dxa" w:w="4320"/>
          </w:tcPr>
          <w:p>
            <w:r>
              <w:t>FDIC Insured</w:t>
            </w:r>
          </w:p>
        </w:tc>
        <w:tc>
          <w:tcPr>
            <w:tcW w:type="dxa" w:w="4320"/>
          </w:tcPr>
          <w:p>
            <w:r>
              <w:t>Yes — up to $250,000 per depositor per bank</w:t>
            </w:r>
          </w:p>
        </w:tc>
      </w:tr>
      <w:tr>
        <w:tc>
          <w:tcPr>
            <w:tcW w:type="dxa" w:w="4320"/>
          </w:tcPr>
          <w:p>
            <w:r>
              <w:t>Liquidity</w:t>
            </w:r>
          </w:p>
        </w:tc>
        <w:tc>
          <w:tcPr>
            <w:tcW w:type="dxa" w:w="4320"/>
          </w:tcPr>
          <w:p>
            <w:r>
              <w:t>Instant — withdraw anytime</w:t>
            </w:r>
          </w:p>
        </w:tc>
      </w:tr>
      <w:tr>
        <w:tc>
          <w:tcPr>
            <w:tcW w:type="dxa" w:w="4320"/>
          </w:tcPr>
          <w:p>
            <w:r>
              <w:t>Best For</w:t>
            </w:r>
          </w:p>
        </w:tc>
        <w:tc>
          <w:tcPr>
            <w:tcW w:type="dxa" w:w="4320"/>
          </w:tcPr>
          <w:p>
            <w:r>
              <w:t>Emergency fund, short-term goals, cash you need within 1 year</w:t>
            </w:r>
          </w:p>
        </w:tc>
      </w:tr>
      <w:tr>
        <w:tc>
          <w:tcPr>
            <w:tcW w:type="dxa" w:w="4320"/>
          </w:tcPr>
          <w:p>
            <w:r>
              <w:t>Top Providers</w:t>
            </w:r>
          </w:p>
        </w:tc>
        <w:tc>
          <w:tcPr>
            <w:tcW w:type="dxa" w:w="4320"/>
          </w:tcPr>
          <w:p>
            <w:r>
              <w:t>SoFi (4.0%), Barclays (4.0%), Newtek Bank (4.35%), Varo (5.0% conditional)</w:t>
            </w:r>
          </w:p>
        </w:tc>
      </w:tr>
      <w:tr>
        <w:tc>
          <w:tcPr>
            <w:tcW w:type="dxa" w:w="4320"/>
          </w:tcPr>
          <w:p>
            <w:r>
              <w:t>Minimum</w:t>
            </w:r>
          </w:p>
        </w:tc>
        <w:tc>
          <w:tcPr>
            <w:tcW w:type="dxa" w:w="4320"/>
          </w:tcPr>
          <w:p>
            <w:r>
              <w:t>$0-$1 at most providers</w:t>
            </w:r>
          </w:p>
        </w:tc>
      </w:tr>
      <w:tr>
        <w:tc>
          <w:tcPr>
            <w:tcW w:type="dxa" w:w="4320"/>
          </w:tcPr>
          <w:p>
            <w:r>
              <w:t>Tax Treatment</w:t>
            </w:r>
          </w:p>
        </w:tc>
        <w:tc>
          <w:tcPr>
            <w:tcW w:type="dxa" w:w="4320"/>
          </w:tcPr>
          <w:p>
            <w:r>
              <w:t>Interest taxed as ordinary income</w:t>
            </w:r>
          </w:p>
        </w:tc>
      </w:tr>
    </w:tbl>
    <w:p>
      <w:pPr>
        <w:pStyle w:val="Heading2"/>
      </w:pPr>
      <w:r>
        <w:t>2.2 Index Funds &amp; ETFs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ETF/Fund</w:t>
            </w:r>
          </w:p>
        </w:tc>
        <w:tc>
          <w:tcPr>
            <w:tcW w:type="dxa" w:w="2160"/>
          </w:tcPr>
          <w:p>
            <w:r>
              <w:rPr>
                <w:b/>
              </w:rPr>
              <w:t>Tracks</w:t>
            </w:r>
          </w:p>
        </w:tc>
        <w:tc>
          <w:tcPr>
            <w:tcW w:type="dxa" w:w="2160"/>
          </w:tcPr>
          <w:p>
            <w:r>
              <w:rPr>
                <w:b/>
              </w:rPr>
              <w:t>Expense Ratio</w:t>
            </w:r>
          </w:p>
        </w:tc>
        <w:tc>
          <w:tcPr>
            <w:tcW w:type="dxa" w:w="2160"/>
          </w:tcPr>
          <w:p>
            <w:r>
              <w:rPr>
                <w:b/>
              </w:rPr>
              <w:t>Best For</w:t>
            </w:r>
          </w:p>
        </w:tc>
      </w:tr>
      <w:tr>
        <w:tc>
          <w:tcPr>
            <w:tcW w:type="dxa" w:w="2160"/>
          </w:tcPr>
          <w:p>
            <w:r>
              <w:t>VOO / SPY</w:t>
            </w:r>
          </w:p>
        </w:tc>
        <w:tc>
          <w:tcPr>
            <w:tcW w:type="dxa" w:w="2160"/>
          </w:tcPr>
          <w:p>
            <w:r>
              <w:t>S&amp;P 500</w:t>
            </w:r>
          </w:p>
        </w:tc>
        <w:tc>
          <w:tcPr>
            <w:tcW w:type="dxa" w:w="2160"/>
          </w:tcPr>
          <w:p>
            <w:r>
              <w:t>0.03% / 0.09%</w:t>
            </w:r>
          </w:p>
        </w:tc>
        <w:tc>
          <w:tcPr>
            <w:tcW w:type="dxa" w:w="2160"/>
          </w:tcPr>
          <w:p>
            <w:r>
              <w:t>Core US equity exposure</w:t>
            </w:r>
          </w:p>
        </w:tc>
      </w:tr>
      <w:tr>
        <w:tc>
          <w:tcPr>
            <w:tcW w:type="dxa" w:w="2160"/>
          </w:tcPr>
          <w:p>
            <w:r>
              <w:t>VTI / ITOT</w:t>
            </w:r>
          </w:p>
        </w:tc>
        <w:tc>
          <w:tcPr>
            <w:tcW w:type="dxa" w:w="2160"/>
          </w:tcPr>
          <w:p>
            <w:r>
              <w:t>Total US Stock Market</w:t>
            </w:r>
          </w:p>
        </w:tc>
        <w:tc>
          <w:tcPr>
            <w:tcW w:type="dxa" w:w="2160"/>
          </w:tcPr>
          <w:p>
            <w:r>
              <w:t>0.03% / 0.03%</w:t>
            </w:r>
          </w:p>
        </w:tc>
        <w:tc>
          <w:tcPr>
            <w:tcW w:type="dxa" w:w="2160"/>
          </w:tcPr>
          <w:p>
            <w:r>
              <w:t>Broadest US diversification</w:t>
            </w:r>
          </w:p>
        </w:tc>
      </w:tr>
      <w:tr>
        <w:tc>
          <w:tcPr>
            <w:tcW w:type="dxa" w:w="2160"/>
          </w:tcPr>
          <w:p>
            <w:r>
              <w:t>QQQ</w:t>
            </w:r>
          </w:p>
        </w:tc>
        <w:tc>
          <w:tcPr>
            <w:tcW w:type="dxa" w:w="2160"/>
          </w:tcPr>
          <w:p>
            <w:r>
              <w:t>Nasdaq 100</w:t>
            </w:r>
          </w:p>
        </w:tc>
        <w:tc>
          <w:tcPr>
            <w:tcW w:type="dxa" w:w="2160"/>
          </w:tcPr>
          <w:p>
            <w:r>
              <w:t>0.20%</w:t>
            </w:r>
          </w:p>
        </w:tc>
        <w:tc>
          <w:tcPr>
            <w:tcW w:type="dxa" w:w="2160"/>
          </w:tcPr>
          <w:p>
            <w:r>
              <w:t>Tech/growth tilt</w:t>
            </w:r>
          </w:p>
        </w:tc>
      </w:tr>
      <w:tr>
        <w:tc>
          <w:tcPr>
            <w:tcW w:type="dxa" w:w="2160"/>
          </w:tcPr>
          <w:p>
            <w:r>
              <w:t>VT / ACWI</w:t>
            </w:r>
          </w:p>
        </w:tc>
        <w:tc>
          <w:tcPr>
            <w:tcW w:type="dxa" w:w="2160"/>
          </w:tcPr>
          <w:p>
            <w:r>
              <w:t>Total World Stock</w:t>
            </w:r>
          </w:p>
        </w:tc>
        <w:tc>
          <w:tcPr>
            <w:tcW w:type="dxa" w:w="2160"/>
          </w:tcPr>
          <w:p>
            <w:r>
              <w:t>0.07% / 0.07%</w:t>
            </w:r>
          </w:p>
        </w:tc>
        <w:tc>
          <w:tcPr>
            <w:tcW w:type="dxa" w:w="2160"/>
          </w:tcPr>
          <w:p>
            <w:r>
              <w:t>Global diversification</w:t>
            </w:r>
          </w:p>
        </w:tc>
      </w:tr>
      <w:tr>
        <w:tc>
          <w:tcPr>
            <w:tcW w:type="dxa" w:w="2160"/>
          </w:tcPr>
          <w:p>
            <w:r>
              <w:t>VXUS / IXUS</w:t>
            </w:r>
          </w:p>
        </w:tc>
        <w:tc>
          <w:tcPr>
            <w:tcW w:type="dxa" w:w="2160"/>
          </w:tcPr>
          <w:p>
            <w:r>
              <w:t>International ex-US</w:t>
            </w:r>
          </w:p>
        </w:tc>
        <w:tc>
          <w:tcPr>
            <w:tcW w:type="dxa" w:w="2160"/>
          </w:tcPr>
          <w:p>
            <w:r>
              <w:t>0.07% / 0.07%</w:t>
            </w:r>
          </w:p>
        </w:tc>
        <w:tc>
          <w:tcPr>
            <w:tcW w:type="dxa" w:w="2160"/>
          </w:tcPr>
          <w:p>
            <w:r>
              <w:t>International exposure</w:t>
            </w:r>
          </w:p>
        </w:tc>
      </w:tr>
      <w:tr>
        <w:tc>
          <w:tcPr>
            <w:tcW w:type="dxa" w:w="2160"/>
          </w:tcPr>
          <w:p>
            <w:r>
              <w:t>VB / IJR</w:t>
            </w:r>
          </w:p>
        </w:tc>
        <w:tc>
          <w:tcPr>
            <w:tcW w:type="dxa" w:w="2160"/>
          </w:tcPr>
          <w:p>
            <w:r>
              <w:t>Small-Cap US</w:t>
            </w:r>
          </w:p>
        </w:tc>
        <w:tc>
          <w:tcPr>
            <w:tcW w:type="dxa" w:w="2160"/>
          </w:tcPr>
          <w:p>
            <w:r>
              <w:t>0.05% / 0.06%</w:t>
            </w:r>
          </w:p>
        </w:tc>
        <w:tc>
          <w:tcPr>
            <w:tcW w:type="dxa" w:w="2160"/>
          </w:tcPr>
          <w:p>
            <w:r>
              <w:t>Small-cap value opportunity</w:t>
            </w:r>
          </w:p>
        </w:tc>
      </w:tr>
      <w:tr>
        <w:tc>
          <w:tcPr>
            <w:tcW w:type="dxa" w:w="2160"/>
          </w:tcPr>
          <w:p>
            <w:r>
              <w:t>SCHD</w:t>
            </w:r>
          </w:p>
        </w:tc>
        <w:tc>
          <w:tcPr>
            <w:tcW w:type="dxa" w:w="2160"/>
          </w:tcPr>
          <w:p>
            <w:r>
              <w:t>Dividend Growth</w:t>
            </w:r>
          </w:p>
        </w:tc>
        <w:tc>
          <w:tcPr>
            <w:tcW w:type="dxa" w:w="2160"/>
          </w:tcPr>
          <w:p>
            <w:r>
              <w:t>0.06%</w:t>
            </w:r>
          </w:p>
        </w:tc>
        <w:tc>
          <w:tcPr>
            <w:tcW w:type="dxa" w:w="2160"/>
          </w:tcPr>
          <w:p>
            <w:r>
              <w:t>Income + growth</w:t>
            </w:r>
          </w:p>
        </w:tc>
      </w:tr>
      <w:tr>
        <w:tc>
          <w:tcPr>
            <w:tcW w:type="dxa" w:w="2160"/>
          </w:tcPr>
          <w:p>
            <w:r>
              <w:t>VTV</w:t>
            </w:r>
          </w:p>
        </w:tc>
        <w:tc>
          <w:tcPr>
            <w:tcW w:type="dxa" w:w="2160"/>
          </w:tcPr>
          <w:p>
            <w:r>
              <w:t>Large-Cap Value</w:t>
            </w:r>
          </w:p>
        </w:tc>
        <w:tc>
          <w:tcPr>
            <w:tcW w:type="dxa" w:w="2160"/>
          </w:tcPr>
          <w:p>
            <w:r>
              <w:t>0.04%</w:t>
            </w:r>
          </w:p>
        </w:tc>
        <w:tc>
          <w:tcPr>
            <w:tcW w:type="dxa" w:w="2160"/>
          </w:tcPr>
          <w:p>
            <w:r>
              <w:t>Value-oriented exposure</w:t>
            </w:r>
          </w:p>
        </w:tc>
      </w:tr>
    </w:tbl>
    <w:p>
      <w:pPr>
        <w:pStyle w:val="Heading2"/>
      </w:pPr>
      <w:r>
        <w:t>2.3 Bond &amp; Treasury ETFs</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ETF</w:t>
            </w:r>
          </w:p>
        </w:tc>
        <w:tc>
          <w:tcPr>
            <w:tcW w:type="dxa" w:w="1728"/>
          </w:tcPr>
          <w:p>
            <w:r>
              <w:rPr>
                <w:b/>
              </w:rPr>
              <w:t>Tracks</w:t>
            </w:r>
          </w:p>
        </w:tc>
        <w:tc>
          <w:tcPr>
            <w:tcW w:type="dxa" w:w="1728"/>
          </w:tcPr>
          <w:p>
            <w:r>
              <w:rPr>
                <w:b/>
              </w:rPr>
              <w:t>Yield</w:t>
            </w:r>
          </w:p>
        </w:tc>
        <w:tc>
          <w:tcPr>
            <w:tcW w:type="dxa" w:w="1728"/>
          </w:tcPr>
          <w:p>
            <w:r>
              <w:rPr>
                <w:b/>
              </w:rPr>
              <w:t>Expense Ratio</w:t>
            </w:r>
          </w:p>
        </w:tc>
        <w:tc>
          <w:tcPr>
            <w:tcW w:type="dxa" w:w="1728"/>
          </w:tcPr>
          <w:p>
            <w:r>
              <w:rPr>
                <w:b/>
              </w:rPr>
              <w:t>Best For</w:t>
            </w:r>
          </w:p>
        </w:tc>
      </w:tr>
      <w:tr>
        <w:tc>
          <w:tcPr>
            <w:tcW w:type="dxa" w:w="1728"/>
          </w:tcPr>
          <w:p>
            <w:r>
              <w:t>VGIT</w:t>
            </w:r>
          </w:p>
        </w:tc>
        <w:tc>
          <w:tcPr>
            <w:tcW w:type="dxa" w:w="1728"/>
          </w:tcPr>
          <w:p>
            <w:r>
              <w:t>Intermediate Treasury (3-10yr)</w:t>
            </w:r>
          </w:p>
        </w:tc>
        <w:tc>
          <w:tcPr>
            <w:tcW w:type="dxa" w:w="1728"/>
          </w:tcPr>
          <w:p>
            <w:r>
              <w:t>~3.8%</w:t>
            </w:r>
          </w:p>
        </w:tc>
        <w:tc>
          <w:tcPr>
            <w:tcW w:type="dxa" w:w="1728"/>
          </w:tcPr>
          <w:p>
            <w:r>
              <w:t>0.03%</w:t>
            </w:r>
          </w:p>
        </w:tc>
        <w:tc>
          <w:tcPr>
            <w:tcW w:type="dxa" w:w="1728"/>
          </w:tcPr>
          <w:p>
            <w:r>
              <w:t>Core bond allocation</w:t>
            </w:r>
          </w:p>
        </w:tc>
      </w:tr>
      <w:tr>
        <w:tc>
          <w:tcPr>
            <w:tcW w:type="dxa" w:w="1728"/>
          </w:tcPr>
          <w:p>
            <w:r>
              <w:t>IEF</w:t>
            </w:r>
          </w:p>
        </w:tc>
        <w:tc>
          <w:tcPr>
            <w:tcW w:type="dxa" w:w="1728"/>
          </w:tcPr>
          <w:p>
            <w:r>
              <w:t>7-10 Year Treasury</w:t>
            </w:r>
          </w:p>
        </w:tc>
        <w:tc>
          <w:tcPr>
            <w:tcW w:type="dxa" w:w="1728"/>
          </w:tcPr>
          <w:p>
            <w:r>
              <w:t>~3.7%</w:t>
            </w:r>
          </w:p>
        </w:tc>
        <w:tc>
          <w:tcPr>
            <w:tcW w:type="dxa" w:w="1728"/>
          </w:tcPr>
          <w:p>
            <w:r>
              <w:t>0.15%</w:t>
            </w:r>
          </w:p>
        </w:tc>
        <w:tc>
          <w:tcPr>
            <w:tcW w:type="dxa" w:w="1728"/>
          </w:tcPr>
          <w:p>
            <w:r>
              <w:t>Equity hedge</w:t>
            </w:r>
          </w:p>
        </w:tc>
      </w:tr>
      <w:tr>
        <w:tc>
          <w:tcPr>
            <w:tcW w:type="dxa" w:w="1728"/>
          </w:tcPr>
          <w:p>
            <w:r>
              <w:t>SCHP</w:t>
            </w:r>
          </w:p>
        </w:tc>
        <w:tc>
          <w:tcPr>
            <w:tcW w:type="dxa" w:w="1728"/>
          </w:tcPr>
          <w:p>
            <w:r>
              <w:t>TIPS (Inflation-Protected)</w:t>
            </w:r>
          </w:p>
        </w:tc>
        <w:tc>
          <w:tcPr>
            <w:tcW w:type="dxa" w:w="1728"/>
          </w:tcPr>
          <w:p>
            <w:r>
              <w:t>~1.8%+CPI</w:t>
            </w:r>
          </w:p>
        </w:tc>
        <w:tc>
          <w:tcPr>
            <w:tcW w:type="dxa" w:w="1728"/>
          </w:tcPr>
          <w:p>
            <w:r>
              <w:t>0.03%</w:t>
            </w:r>
          </w:p>
        </w:tc>
        <w:tc>
          <w:tcPr>
            <w:tcW w:type="dxa" w:w="1728"/>
          </w:tcPr>
          <w:p>
            <w:r>
              <w:t>Inflation protection</w:t>
            </w:r>
          </w:p>
        </w:tc>
      </w:tr>
      <w:tr>
        <w:tc>
          <w:tcPr>
            <w:tcW w:type="dxa" w:w="1728"/>
          </w:tcPr>
          <w:p>
            <w:r>
              <w:t>TLT</w:t>
            </w:r>
          </w:p>
        </w:tc>
        <w:tc>
          <w:tcPr>
            <w:tcW w:type="dxa" w:w="1728"/>
          </w:tcPr>
          <w:p>
            <w:r>
              <w:t>20+ Year Treasury</w:t>
            </w:r>
          </w:p>
        </w:tc>
        <w:tc>
          <w:tcPr>
            <w:tcW w:type="dxa" w:w="1728"/>
          </w:tcPr>
          <w:p>
            <w:r>
              <w:t>~4.3%</w:t>
            </w:r>
          </w:p>
        </w:tc>
        <w:tc>
          <w:tcPr>
            <w:tcW w:type="dxa" w:w="1728"/>
          </w:tcPr>
          <w:p>
            <w:r>
              <w:t>0.15%</w:t>
            </w:r>
          </w:p>
        </w:tc>
        <w:tc>
          <w:tcPr>
            <w:tcW w:type="dxa" w:w="1728"/>
          </w:tcPr>
          <w:p>
            <w:r>
              <w:t>Aggressive rate-cut bet</w:t>
            </w:r>
          </w:p>
        </w:tc>
      </w:tr>
      <w:tr>
        <w:tc>
          <w:tcPr>
            <w:tcW w:type="dxa" w:w="1728"/>
          </w:tcPr>
          <w:p>
            <w:r>
              <w:t>BND</w:t>
            </w:r>
          </w:p>
        </w:tc>
        <w:tc>
          <w:tcPr>
            <w:tcW w:type="dxa" w:w="1728"/>
          </w:tcPr>
          <w:p>
            <w:r>
              <w:t>Total Bond Market</w:t>
            </w:r>
          </w:p>
        </w:tc>
        <w:tc>
          <w:tcPr>
            <w:tcW w:type="dxa" w:w="1728"/>
          </w:tcPr>
          <w:p>
            <w:r>
              <w:t>~4.2%</w:t>
            </w:r>
          </w:p>
        </w:tc>
        <w:tc>
          <w:tcPr>
            <w:tcW w:type="dxa" w:w="1728"/>
          </w:tcPr>
          <w:p>
            <w:r>
              <w:t>0.03%</w:t>
            </w:r>
          </w:p>
        </w:tc>
        <w:tc>
          <w:tcPr>
            <w:tcW w:type="dxa" w:w="1728"/>
          </w:tcPr>
          <w:p>
            <w:r>
              <w:t>Broad bond exposure</w:t>
            </w:r>
          </w:p>
        </w:tc>
      </w:tr>
      <w:tr>
        <w:tc>
          <w:tcPr>
            <w:tcW w:type="dxa" w:w="1728"/>
          </w:tcPr>
          <w:p>
            <w:r>
              <w:t>VCSH</w:t>
            </w:r>
          </w:p>
        </w:tc>
        <w:tc>
          <w:tcPr>
            <w:tcW w:type="dxa" w:w="1728"/>
          </w:tcPr>
          <w:p>
            <w:r>
              <w:t>Short-Term Corp Bond</w:t>
            </w:r>
          </w:p>
        </w:tc>
        <w:tc>
          <w:tcPr>
            <w:tcW w:type="dxa" w:w="1728"/>
          </w:tcPr>
          <w:p>
            <w:r>
              <w:t>~4.5%</w:t>
            </w:r>
          </w:p>
        </w:tc>
        <w:tc>
          <w:tcPr>
            <w:tcW w:type="dxa" w:w="1728"/>
          </w:tcPr>
          <w:p>
            <w:r>
              <w:t>0.04%</w:t>
            </w:r>
          </w:p>
        </w:tc>
        <w:tc>
          <w:tcPr>
            <w:tcW w:type="dxa" w:w="1728"/>
          </w:tcPr>
          <w:p>
            <w:r>
              <w:t>Low-risk income</w:t>
            </w:r>
          </w:p>
        </w:tc>
      </w:tr>
    </w:tbl>
    <w:p>
      <w:pPr>
        <w:pStyle w:val="Heading2"/>
      </w:pPr>
      <w:r>
        <w:t>2.4 Cryptocurrency ETFs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ETF</w:t>
            </w:r>
          </w:p>
        </w:tc>
        <w:tc>
          <w:tcPr>
            <w:tcW w:type="dxa" w:w="2160"/>
          </w:tcPr>
          <w:p>
            <w:r>
              <w:rPr>
                <w:b/>
              </w:rPr>
              <w:t>Tracks</w:t>
            </w:r>
          </w:p>
        </w:tc>
        <w:tc>
          <w:tcPr>
            <w:tcW w:type="dxa" w:w="2160"/>
          </w:tcPr>
          <w:p>
            <w:r>
              <w:rPr>
                <w:b/>
              </w:rPr>
              <w:t>Expense Ratio</w:t>
            </w:r>
          </w:p>
        </w:tc>
        <w:tc>
          <w:tcPr>
            <w:tcW w:type="dxa" w:w="2160"/>
          </w:tcPr>
          <w:p>
            <w:r>
              <w:rPr>
                <w:b/>
              </w:rPr>
              <w:t>Notes</w:t>
            </w:r>
          </w:p>
        </w:tc>
      </w:tr>
      <w:tr>
        <w:tc>
          <w:tcPr>
            <w:tcW w:type="dxa" w:w="2160"/>
          </w:tcPr>
          <w:p>
            <w:r>
              <w:t>IBIT (iShares)</w:t>
            </w:r>
          </w:p>
        </w:tc>
        <w:tc>
          <w:tcPr>
            <w:tcW w:type="dxa" w:w="2160"/>
          </w:tcPr>
          <w:p>
            <w:r>
              <w:t>Bitcoin</w:t>
            </w:r>
          </w:p>
        </w:tc>
        <w:tc>
          <w:tcPr>
            <w:tcW w:type="dxa" w:w="2160"/>
          </w:tcPr>
          <w:p>
            <w:r>
              <w:t>0.25%</w:t>
            </w:r>
          </w:p>
        </w:tc>
        <w:tc>
          <w:tcPr>
            <w:tcW w:type="dxa" w:w="2160"/>
          </w:tcPr>
          <w:p>
            <w:r>
              <w:t>Largest Bitcoin ETF by AUM</w:t>
            </w:r>
          </w:p>
        </w:tc>
      </w:tr>
      <w:tr>
        <w:tc>
          <w:tcPr>
            <w:tcW w:type="dxa" w:w="2160"/>
          </w:tcPr>
          <w:p>
            <w:r>
              <w:t>FBTC (Fidelity)</w:t>
            </w:r>
          </w:p>
        </w:tc>
        <w:tc>
          <w:tcPr>
            <w:tcW w:type="dxa" w:w="2160"/>
          </w:tcPr>
          <w:p>
            <w:r>
              <w:t>Bitcoin</w:t>
            </w:r>
          </w:p>
        </w:tc>
        <w:tc>
          <w:tcPr>
            <w:tcW w:type="dxa" w:w="2160"/>
          </w:tcPr>
          <w:p>
            <w:r>
              <w:t>0.25%</w:t>
            </w:r>
          </w:p>
        </w:tc>
        <w:tc>
          <w:tcPr>
            <w:tcW w:type="dxa" w:w="2160"/>
          </w:tcPr>
          <w:p>
            <w:r>
              <w:t>Strong Fidelity ecosystem</w:t>
            </w:r>
          </w:p>
        </w:tc>
      </w:tr>
      <w:tr>
        <w:tc>
          <w:tcPr>
            <w:tcW w:type="dxa" w:w="2160"/>
          </w:tcPr>
          <w:p>
            <w:r>
              <w:t>ETHA (iShares)</w:t>
            </w:r>
          </w:p>
        </w:tc>
        <w:tc>
          <w:tcPr>
            <w:tcW w:type="dxa" w:w="2160"/>
          </w:tcPr>
          <w:p>
            <w:r>
              <w:t>Ethereum</w:t>
            </w:r>
          </w:p>
        </w:tc>
        <w:tc>
          <w:tcPr>
            <w:tcW w:type="dxa" w:w="2160"/>
          </w:tcPr>
          <w:p>
            <w:r>
              <w:t>0.25%</w:t>
            </w:r>
          </w:p>
        </w:tc>
        <w:tc>
          <w:tcPr>
            <w:tcW w:type="dxa" w:w="2160"/>
          </w:tcPr>
          <w:p>
            <w:r>
              <w:t>Ethereum spot ETF</w:t>
            </w:r>
          </w:p>
        </w:tc>
      </w:tr>
    </w:tbl>
    <w:p>
      <w:pPr>
        <w:pStyle w:val="Heading2"/>
      </w:pPr>
      <w:r>
        <w:t>2.5 Gold &amp; Commodities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ETF</w:t>
            </w:r>
          </w:p>
        </w:tc>
        <w:tc>
          <w:tcPr>
            <w:tcW w:type="dxa" w:w="2160"/>
          </w:tcPr>
          <w:p>
            <w:r>
              <w:rPr>
                <w:b/>
              </w:rPr>
              <w:t>Tracks</w:t>
            </w:r>
          </w:p>
        </w:tc>
        <w:tc>
          <w:tcPr>
            <w:tcW w:type="dxa" w:w="2160"/>
          </w:tcPr>
          <w:p>
            <w:r>
              <w:rPr>
                <w:b/>
              </w:rPr>
              <w:t>Expense Ratio</w:t>
            </w:r>
          </w:p>
        </w:tc>
        <w:tc>
          <w:tcPr>
            <w:tcW w:type="dxa" w:w="2160"/>
          </w:tcPr>
          <w:p>
            <w:r>
              <w:rPr>
                <w:b/>
              </w:rPr>
              <w:t>Notes</w:t>
            </w:r>
          </w:p>
        </w:tc>
      </w:tr>
      <w:tr>
        <w:tc>
          <w:tcPr>
            <w:tcW w:type="dxa" w:w="2160"/>
          </w:tcPr>
          <w:p>
            <w:r>
              <w:t>GLD</w:t>
            </w:r>
          </w:p>
        </w:tc>
        <w:tc>
          <w:tcPr>
            <w:tcW w:type="dxa" w:w="2160"/>
          </w:tcPr>
          <w:p>
            <w:r>
              <w:t>Gold (physical)</w:t>
            </w:r>
          </w:p>
        </w:tc>
        <w:tc>
          <w:tcPr>
            <w:tcW w:type="dxa" w:w="2160"/>
          </w:tcPr>
          <w:p>
            <w:r>
              <w:t>0.40%</w:t>
            </w:r>
          </w:p>
        </w:tc>
        <w:tc>
          <w:tcPr>
            <w:tcW w:type="dxa" w:w="2160"/>
          </w:tcPr>
          <w:p>
            <w:r>
              <w:t>Largest gold ETF</w:t>
            </w:r>
          </w:p>
        </w:tc>
      </w:tr>
      <w:tr>
        <w:tc>
          <w:tcPr>
            <w:tcW w:type="dxa" w:w="2160"/>
          </w:tcPr>
          <w:p>
            <w:r>
              <w:t>IAU</w:t>
            </w:r>
          </w:p>
        </w:tc>
        <w:tc>
          <w:tcPr>
            <w:tcW w:type="dxa" w:w="2160"/>
          </w:tcPr>
          <w:p>
            <w:r>
              <w:t>Gold (physical)</w:t>
            </w:r>
          </w:p>
        </w:tc>
        <w:tc>
          <w:tcPr>
            <w:tcW w:type="dxa" w:w="2160"/>
          </w:tcPr>
          <w:p>
            <w:r>
              <w:t>0.25%</w:t>
            </w:r>
          </w:p>
        </w:tc>
        <w:tc>
          <w:tcPr>
            <w:tcW w:type="dxa" w:w="2160"/>
          </w:tcPr>
          <w:p>
            <w:r>
              <w:t>Lower cost gold exposure</w:t>
            </w:r>
          </w:p>
        </w:tc>
      </w:tr>
      <w:tr>
        <w:tc>
          <w:tcPr>
            <w:tcW w:type="dxa" w:w="2160"/>
          </w:tcPr>
          <w:p>
            <w:r>
              <w:t>SLV</w:t>
            </w:r>
          </w:p>
        </w:tc>
        <w:tc>
          <w:tcPr>
            <w:tcW w:type="dxa" w:w="2160"/>
          </w:tcPr>
          <w:p>
            <w:r>
              <w:t>Silver (physical)</w:t>
            </w:r>
          </w:p>
        </w:tc>
        <w:tc>
          <w:tcPr>
            <w:tcW w:type="dxa" w:w="2160"/>
          </w:tcPr>
          <w:p>
            <w:r>
              <w:t>0.50%</w:t>
            </w:r>
          </w:p>
        </w:tc>
        <w:tc>
          <w:tcPr>
            <w:tcW w:type="dxa" w:w="2160"/>
          </w:tcPr>
          <w:p>
            <w:r>
              <w:t>Silver exposure</w:t>
            </w:r>
          </w:p>
        </w:tc>
      </w:tr>
      <w:tr>
        <w:tc>
          <w:tcPr>
            <w:tcW w:type="dxa" w:w="2160"/>
          </w:tcPr>
          <w:p>
            <w:r>
              <w:t>DBC</w:t>
            </w:r>
          </w:p>
        </w:tc>
        <w:tc>
          <w:tcPr>
            <w:tcW w:type="dxa" w:w="2160"/>
          </w:tcPr>
          <w:p>
            <w:r>
              <w:t>Broad Commodities</w:t>
            </w:r>
          </w:p>
        </w:tc>
        <w:tc>
          <w:tcPr>
            <w:tcW w:type="dxa" w:w="2160"/>
          </w:tcPr>
          <w:p>
            <w:r>
              <w:t>0.87%</w:t>
            </w:r>
          </w:p>
        </w:tc>
        <w:tc>
          <w:tcPr>
            <w:tcW w:type="dxa" w:w="2160"/>
          </w:tcPr>
          <w:p>
            <w:r>
              <w:t>Diversified commodity basket</w:t>
            </w:r>
          </w:p>
        </w:tc>
      </w:tr>
    </w:tbl>
    <w:p>
      <w:pPr>
        <w:pStyle w:val="Heading2"/>
      </w:pPr>
      <w:r>
        <w:t>2.6 REITs</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ETF</w:t>
            </w:r>
          </w:p>
        </w:tc>
        <w:tc>
          <w:tcPr>
            <w:tcW w:type="dxa" w:w="1728"/>
          </w:tcPr>
          <w:p>
            <w:r>
              <w:rPr>
                <w:b/>
              </w:rPr>
              <w:t>Tracks</w:t>
            </w:r>
          </w:p>
        </w:tc>
        <w:tc>
          <w:tcPr>
            <w:tcW w:type="dxa" w:w="1728"/>
          </w:tcPr>
          <w:p>
            <w:r>
              <w:rPr>
                <w:b/>
              </w:rPr>
              <w:t>Yield</w:t>
            </w:r>
          </w:p>
        </w:tc>
        <w:tc>
          <w:tcPr>
            <w:tcW w:type="dxa" w:w="1728"/>
          </w:tcPr>
          <w:p>
            <w:r>
              <w:rPr>
                <w:b/>
              </w:rPr>
              <w:t>Expense Ratio</w:t>
            </w:r>
          </w:p>
        </w:tc>
        <w:tc>
          <w:tcPr>
            <w:tcW w:type="dxa" w:w="1728"/>
          </w:tcPr>
          <w:p>
            <w:r>
              <w:rPr>
                <w:b/>
              </w:rPr>
              <w:t>Notes</w:t>
            </w:r>
          </w:p>
        </w:tc>
      </w:tr>
      <w:tr>
        <w:tc>
          <w:tcPr>
            <w:tcW w:type="dxa" w:w="1728"/>
          </w:tcPr>
          <w:p>
            <w:r>
              <w:t>VNQ</w:t>
            </w:r>
          </w:p>
        </w:tc>
        <w:tc>
          <w:tcPr>
            <w:tcW w:type="dxa" w:w="1728"/>
          </w:tcPr>
          <w:p>
            <w:r>
              <w:t>US Real Estate</w:t>
            </w:r>
          </w:p>
        </w:tc>
        <w:tc>
          <w:tcPr>
            <w:tcW w:type="dxa" w:w="1728"/>
          </w:tcPr>
          <w:p>
            <w:r>
              <w:t>~3.8%</w:t>
            </w:r>
          </w:p>
        </w:tc>
        <w:tc>
          <w:tcPr>
            <w:tcW w:type="dxa" w:w="1728"/>
          </w:tcPr>
          <w:p>
            <w:r>
              <w:t>0.12%</w:t>
            </w:r>
          </w:p>
        </w:tc>
        <w:tc>
          <w:tcPr>
            <w:tcW w:type="dxa" w:w="1728"/>
          </w:tcPr>
          <w:p>
            <w:r>
              <w:t>Broad REIT exposure</w:t>
            </w:r>
          </w:p>
        </w:tc>
      </w:tr>
      <w:tr>
        <w:tc>
          <w:tcPr>
            <w:tcW w:type="dxa" w:w="1728"/>
          </w:tcPr>
          <w:p>
            <w:r>
              <w:t>SCHH</w:t>
            </w:r>
          </w:p>
        </w:tc>
        <w:tc>
          <w:tcPr>
            <w:tcW w:type="dxa" w:w="1728"/>
          </w:tcPr>
          <w:p>
            <w:r>
              <w:t>US Real Estate</w:t>
            </w:r>
          </w:p>
        </w:tc>
        <w:tc>
          <w:tcPr>
            <w:tcW w:type="dxa" w:w="1728"/>
          </w:tcPr>
          <w:p>
            <w:r>
              <w:t>~3.5%</w:t>
            </w:r>
          </w:p>
        </w:tc>
        <w:tc>
          <w:tcPr>
            <w:tcW w:type="dxa" w:w="1728"/>
          </w:tcPr>
          <w:p>
            <w:r>
              <w:t>0.07%</w:t>
            </w:r>
          </w:p>
        </w:tc>
        <w:tc>
          <w:tcPr>
            <w:tcW w:type="dxa" w:w="1728"/>
          </w:tcPr>
          <w:p>
            <w:r>
              <w:t>Lower cost alternative</w:t>
            </w:r>
          </w:p>
        </w:tc>
      </w:tr>
      <w:tr>
        <w:tc>
          <w:tcPr>
            <w:tcW w:type="dxa" w:w="1728"/>
          </w:tcPr>
          <w:p>
            <w:r>
              <w:t>O (Realty Income)</w:t>
            </w:r>
          </w:p>
        </w:tc>
        <w:tc>
          <w:tcPr>
            <w:tcW w:type="dxa" w:w="1728"/>
          </w:tcPr>
          <w:p>
            <w:r>
              <w:t>Single stock REIT</w:t>
            </w:r>
          </w:p>
        </w:tc>
        <w:tc>
          <w:tcPr>
            <w:tcW w:type="dxa" w:w="1728"/>
          </w:tcPr>
          <w:p>
            <w:r>
              <w:t>~5.5%</w:t>
            </w:r>
          </w:p>
        </w:tc>
        <w:tc>
          <w:tcPr>
            <w:tcW w:type="dxa" w:w="1728"/>
          </w:tcPr>
          <w:p>
            <w:r>
              <w:t>N/A</w:t>
            </w:r>
          </w:p>
        </w:tc>
        <w:tc>
          <w:tcPr>
            <w:tcW w:type="dxa" w:w="1728"/>
          </w:tcPr>
          <w:p>
            <w:r>
              <w:t>Monthly dividend "aristocrat"</w:t>
            </w:r>
          </w:p>
        </w:tc>
      </w:tr>
    </w:tbl>
    <w:p>
      <w:r>
        <w:br w:type="page"/>
      </w:r>
    </w:p>
    <w:p>
      <w:pPr>
        <w:pStyle w:val="Heading1"/>
      </w:pPr>
      <w:r>
        <w:t>Part 3: $1,000 Investment Plan</w:t>
      </w:r>
    </w:p>
    <w:p>
      <w:r>
        <w:t>With $1,000, the priority is building a foundation. At this level, simplicity and low fees are critical — every dollar of fees matters more. The primary goal is to start building the investing habit while earning meaningful returns.</w:t>
      </w:r>
    </w:p>
    <w:p>
      <w:pPr>
        <w:pStyle w:val="Heading2"/>
      </w:pPr>
      <w:r>
        <w:t>Critical First Step: Emergency Fund Check</w:t>
      </w:r>
    </w:p>
    <w:p>
      <w:r>
        <w:t>Before investing ANY money, ensure you have at least $500-1,000 in an emergency fund (high-yield savings account). If you do NOT have an emergency fund, put the entire $1,000 into a HYSA first. Investing money you might need in the next 6 months is how people lose money.</w:t>
      </w:r>
    </w:p>
    <w:p>
      <w:pPr>
        <w:pStyle w:val="Heading2"/>
      </w:pPr>
      <w:r>
        <w:t>3.1 Conservative Strategy (Low Risk)</w:t>
      </w:r>
    </w:p>
    <w:p>
      <w:r>
        <w:t>Best for: Beginners, those who need the money within 1-2 years, risk-averse investors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Allocation</w:t>
            </w:r>
          </w:p>
        </w:tc>
        <w:tc>
          <w:tcPr>
            <w:tcW w:type="dxa" w:w="2160"/>
          </w:tcPr>
          <w:p>
            <w:r>
              <w:rPr>
                <w:b/>
              </w:rPr>
              <w:t>Amount</w:t>
            </w:r>
          </w:p>
        </w:tc>
        <w:tc>
          <w:tcPr>
            <w:tcW w:type="dxa" w:w="2160"/>
          </w:tcPr>
          <w:p>
            <w:r>
              <w:rPr>
                <w:b/>
              </w:rPr>
              <w:t>Vehicle</w:t>
            </w:r>
          </w:p>
        </w:tc>
        <w:tc>
          <w:tcPr>
            <w:tcW w:type="dxa" w:w="2160"/>
          </w:tcPr>
          <w:p>
            <w:r>
              <w:rPr>
                <w:b/>
              </w:rPr>
              <w:t>Expected Annual Return</w:t>
            </w:r>
          </w:p>
        </w:tc>
      </w:tr>
      <w:tr>
        <w:tc>
          <w:tcPr>
            <w:tcW w:type="dxa" w:w="2160"/>
          </w:tcPr>
          <w:p>
            <w:r>
              <w:t>Emergency/Cash (60%)</w:t>
            </w:r>
          </w:p>
        </w:tc>
        <w:tc>
          <w:tcPr>
            <w:tcW w:type="dxa" w:w="2160"/>
          </w:tcPr>
          <w:p>
            <w:r>
              <w:t>$600</w:t>
            </w:r>
          </w:p>
        </w:tc>
        <w:tc>
          <w:tcPr>
            <w:tcW w:type="dxa" w:w="2160"/>
          </w:tcPr>
          <w:p>
            <w:r>
              <w:t>HYSA (SoFi/Barclays @ 4.0%)</w:t>
            </w:r>
          </w:p>
        </w:tc>
        <w:tc>
          <w:tcPr>
            <w:tcW w:type="dxa" w:w="2160"/>
          </w:tcPr>
          <w:p>
            <w:r>
              <w:t>4.0%</w:t>
            </w:r>
          </w:p>
        </w:tc>
      </w:tr>
      <w:tr>
        <w:tc>
          <w:tcPr>
            <w:tcW w:type="dxa" w:w="2160"/>
          </w:tcPr>
          <w:p>
            <w:r>
              <w:t>Bonds (25%)</w:t>
            </w:r>
          </w:p>
        </w:tc>
        <w:tc>
          <w:tcPr>
            <w:tcW w:type="dxa" w:w="2160"/>
          </w:tcPr>
          <w:p>
            <w:r>
              <w:t>$250</w:t>
            </w:r>
          </w:p>
        </w:tc>
        <w:tc>
          <w:tcPr>
            <w:tcW w:type="dxa" w:w="2160"/>
          </w:tcPr>
          <w:p>
            <w:r>
              <w:t>VGIT (Intermediate Treasury ETF)</w:t>
            </w:r>
          </w:p>
        </w:tc>
        <w:tc>
          <w:tcPr>
            <w:tcW w:type="dxa" w:w="2160"/>
          </w:tcPr>
          <w:p>
            <w:r>
              <w:t>3.5-4.0%</w:t>
            </w:r>
          </w:p>
        </w:tc>
      </w:tr>
      <w:tr>
        <w:tc>
          <w:tcPr>
            <w:tcW w:type="dxa" w:w="2160"/>
          </w:tcPr>
          <w:p>
            <w:r>
              <w:t>Stocks (15%)</w:t>
            </w:r>
          </w:p>
        </w:tc>
        <w:tc>
          <w:tcPr>
            <w:tcW w:type="dxa" w:w="2160"/>
          </w:tcPr>
          <w:p>
            <w:r>
              <w:t>$150</w:t>
            </w:r>
          </w:p>
        </w:tc>
        <w:tc>
          <w:tcPr>
            <w:tcW w:type="dxa" w:w="2160"/>
          </w:tcPr>
          <w:p>
            <w:r>
              <w:t>VOO (S&amp;P 500 ETF)</w:t>
            </w:r>
          </w:p>
        </w:tc>
        <w:tc>
          <w:tcPr>
            <w:tcW w:type="dxa" w:w="2160"/>
          </w:tcPr>
          <w:p>
            <w:r>
              <w:t>8-12%</w:t>
            </w:r>
          </w:p>
        </w:tc>
      </w:tr>
      <w:tr>
        <w:tc>
          <w:tcPr>
            <w:tcW w:type="dxa" w:w="2160"/>
          </w:tcPr>
          <w:p>
            <w:r>
              <w:t>TOTAL</w:t>
            </w:r>
          </w:p>
        </w:tc>
        <w:tc>
          <w:tcPr>
            <w:tcW w:type="dxa" w:w="2160"/>
          </w:tcPr>
          <w:p>
            <w:r>
              <w:t>$1,000</w:t>
            </w:r>
          </w:p>
        </w:tc>
        <w:tc>
          <w:tcPr>
            <w:tcW w:type="dxa" w:w="2160"/>
          </w:tcPr>
          <w:p>
            <w:r/>
          </w:p>
        </w:tc>
        <w:tc>
          <w:tcPr>
            <w:tcW w:type="dxa" w:w="2160"/>
          </w:tcPr>
          <w:p>
            <w:r>
              <w:t>4.5-5.5% blended</w:t>
            </w:r>
          </w:p>
        </w:tc>
      </w:tr>
    </w:tbl>
    <w:p>
      <w:r>
        <w:t>12-Month Projected Value: $1,045 - $1,055</w:t>
      </w:r>
    </w:p>
    <w:p>
      <w:pPr>
        <w:pStyle w:val="Heading2"/>
      </w:pPr>
      <w:r>
        <w:t>3.2 Balanced Strategy (Moderate Risk)</w:t>
      </w:r>
    </w:p>
    <w:p>
      <w:r>
        <w:t>Best for: Investors with a 3-5 year horizon, some risk tolerance, existing emergency fund</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Allocation</w:t>
            </w:r>
          </w:p>
        </w:tc>
        <w:tc>
          <w:tcPr>
            <w:tcW w:type="dxa" w:w="2160"/>
          </w:tcPr>
          <w:p>
            <w:r>
              <w:rPr>
                <w:b/>
              </w:rPr>
              <w:t>Amount</w:t>
            </w:r>
          </w:p>
        </w:tc>
        <w:tc>
          <w:tcPr>
            <w:tcW w:type="dxa" w:w="2160"/>
          </w:tcPr>
          <w:p>
            <w:r>
              <w:rPr>
                <w:b/>
              </w:rPr>
              <w:t>Vehicle</w:t>
            </w:r>
          </w:p>
        </w:tc>
        <w:tc>
          <w:tcPr>
            <w:tcW w:type="dxa" w:w="2160"/>
          </w:tcPr>
          <w:p>
            <w:r>
              <w:rPr>
                <w:b/>
              </w:rPr>
              <w:t>Expected Annual Return</w:t>
            </w:r>
          </w:p>
        </w:tc>
      </w:tr>
      <w:tr>
        <w:tc>
          <w:tcPr>
            <w:tcW w:type="dxa" w:w="2160"/>
          </w:tcPr>
          <w:p>
            <w:r>
              <w:t>Cash Reserve (20%)</w:t>
            </w:r>
          </w:p>
        </w:tc>
        <w:tc>
          <w:tcPr>
            <w:tcW w:type="dxa" w:w="2160"/>
          </w:tcPr>
          <w:p>
            <w:r>
              <w:t>$200</w:t>
            </w:r>
          </w:p>
        </w:tc>
        <w:tc>
          <w:tcPr>
            <w:tcW w:type="dxa" w:w="2160"/>
          </w:tcPr>
          <w:p>
            <w:r>
              <w:t>HYSA @ 4.0%</w:t>
            </w:r>
          </w:p>
        </w:tc>
        <w:tc>
          <w:tcPr>
            <w:tcW w:type="dxa" w:w="2160"/>
          </w:tcPr>
          <w:p>
            <w:r>
              <w:t>4.0%</w:t>
            </w:r>
          </w:p>
        </w:tc>
      </w:tr>
      <w:tr>
        <w:tc>
          <w:tcPr>
            <w:tcW w:type="dxa" w:w="2160"/>
          </w:tcPr>
          <w:p>
            <w:r>
              <w:t>Bonds (20%)</w:t>
            </w:r>
          </w:p>
        </w:tc>
        <w:tc>
          <w:tcPr>
            <w:tcW w:type="dxa" w:w="2160"/>
          </w:tcPr>
          <w:p>
            <w:r>
              <w:t>$200</w:t>
            </w:r>
          </w:p>
        </w:tc>
        <w:tc>
          <w:tcPr>
            <w:tcW w:type="dxa" w:w="2160"/>
          </w:tcPr>
          <w:p>
            <w:r>
              <w:t>BND (Total Bond Market ETF)</w:t>
            </w:r>
          </w:p>
        </w:tc>
        <w:tc>
          <w:tcPr>
            <w:tcW w:type="dxa" w:w="2160"/>
          </w:tcPr>
          <w:p>
            <w:r>
              <w:t>4.0-4.5%</w:t>
            </w:r>
          </w:p>
        </w:tc>
      </w:tr>
      <w:tr>
        <w:tc>
          <w:tcPr>
            <w:tcW w:type="dxa" w:w="2160"/>
          </w:tcPr>
          <w:p>
            <w:r>
              <w:t>US Stocks (40%)</w:t>
            </w:r>
          </w:p>
        </w:tc>
        <w:tc>
          <w:tcPr>
            <w:tcW w:type="dxa" w:w="2160"/>
          </w:tcPr>
          <w:p>
            <w:r>
              <w:t>$400</w:t>
            </w:r>
          </w:p>
        </w:tc>
        <w:tc>
          <w:tcPr>
            <w:tcW w:type="dxa" w:w="2160"/>
          </w:tcPr>
          <w:p>
            <w:r>
              <w:t>VTI (Total US Market ETF)</w:t>
            </w:r>
          </w:p>
        </w:tc>
        <w:tc>
          <w:tcPr>
            <w:tcW w:type="dxa" w:w="2160"/>
          </w:tcPr>
          <w:p>
            <w:r>
              <w:t>8-12%</w:t>
            </w:r>
          </w:p>
        </w:tc>
      </w:tr>
      <w:tr>
        <w:tc>
          <w:tcPr>
            <w:tcW w:type="dxa" w:w="2160"/>
          </w:tcPr>
          <w:p>
            <w:r>
              <w:t>International (15%)</w:t>
            </w:r>
          </w:p>
        </w:tc>
        <w:tc>
          <w:tcPr>
            <w:tcW w:type="dxa" w:w="2160"/>
          </w:tcPr>
          <w:p>
            <w:r>
              <w:t>$150</w:t>
            </w:r>
          </w:p>
        </w:tc>
        <w:tc>
          <w:tcPr>
            <w:tcW w:type="dxa" w:w="2160"/>
          </w:tcPr>
          <w:p>
            <w:r>
              <w:t>VXUS (Int'l ETF)</w:t>
            </w:r>
          </w:p>
        </w:tc>
        <w:tc>
          <w:tcPr>
            <w:tcW w:type="dxa" w:w="2160"/>
          </w:tcPr>
          <w:p>
            <w:r>
              <w:t>6-10%</w:t>
            </w:r>
          </w:p>
        </w:tc>
      </w:tr>
      <w:tr>
        <w:tc>
          <w:tcPr>
            <w:tcW w:type="dxa" w:w="2160"/>
          </w:tcPr>
          <w:p>
            <w:r>
              <w:t>Gold (5%)</w:t>
            </w:r>
          </w:p>
        </w:tc>
        <w:tc>
          <w:tcPr>
            <w:tcW w:type="dxa" w:w="2160"/>
          </w:tcPr>
          <w:p>
            <w:r>
              <w:t>$50</w:t>
            </w:r>
          </w:p>
        </w:tc>
        <w:tc>
          <w:tcPr>
            <w:tcW w:type="dxa" w:w="2160"/>
          </w:tcPr>
          <w:p>
            <w:r>
              <w:t>IAU (Gold ETF)</w:t>
            </w:r>
          </w:p>
        </w:tc>
        <w:tc>
          <w:tcPr>
            <w:tcW w:type="dxa" w:w="2160"/>
          </w:tcPr>
          <w:p>
            <w:r>
              <w:t>0-5% (hedge)</w:t>
            </w:r>
          </w:p>
        </w:tc>
      </w:tr>
      <w:tr>
        <w:tc>
          <w:tcPr>
            <w:tcW w:type="dxa" w:w="2160"/>
          </w:tcPr>
          <w:p>
            <w:r>
              <w:t>TOTAL</w:t>
            </w:r>
          </w:p>
        </w:tc>
        <w:tc>
          <w:tcPr>
            <w:tcW w:type="dxa" w:w="2160"/>
          </w:tcPr>
          <w:p>
            <w:r>
              <w:t>$1,000</w:t>
            </w:r>
          </w:p>
        </w:tc>
        <w:tc>
          <w:tcPr>
            <w:tcW w:type="dxa" w:w="2160"/>
          </w:tcPr>
          <w:p>
            <w:r/>
          </w:p>
        </w:tc>
        <w:tc>
          <w:tcPr>
            <w:tcW w:type="dxa" w:w="2160"/>
          </w:tcPr>
          <w:p>
            <w:r>
              <w:t>6.0-8.5% blended</w:t>
            </w:r>
          </w:p>
        </w:tc>
      </w:tr>
    </w:tbl>
    <w:p>
      <w:r>
        <w:t>12-Month Projected Value: $1,060 - $1,085</w:t>
      </w:r>
    </w:p>
    <w:p>
      <w:pPr>
        <w:pStyle w:val="Heading2"/>
      </w:pPr>
      <w:r>
        <w:t>3.3 Aggressive Strategy (Higher Risk)</w:t>
      </w:r>
    </w:p>
    <w:p>
      <w:r>
        <w:t>Best for: Young investors (20s-30s), 5+ year horizon, high risk tolerance, money you can afford to lose</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Allocation</w:t>
            </w:r>
          </w:p>
        </w:tc>
        <w:tc>
          <w:tcPr>
            <w:tcW w:type="dxa" w:w="2160"/>
          </w:tcPr>
          <w:p>
            <w:r>
              <w:rPr>
                <w:b/>
              </w:rPr>
              <w:t>Amount</w:t>
            </w:r>
          </w:p>
        </w:tc>
        <w:tc>
          <w:tcPr>
            <w:tcW w:type="dxa" w:w="2160"/>
          </w:tcPr>
          <w:p>
            <w:r>
              <w:rPr>
                <w:b/>
              </w:rPr>
              <w:t>Vehicle</w:t>
            </w:r>
          </w:p>
        </w:tc>
        <w:tc>
          <w:tcPr>
            <w:tcW w:type="dxa" w:w="2160"/>
          </w:tcPr>
          <w:p>
            <w:r>
              <w:rPr>
                <w:b/>
              </w:rPr>
              <w:t>Expected Annual Return</w:t>
            </w:r>
          </w:p>
        </w:tc>
      </w:tr>
      <w:tr>
        <w:tc>
          <w:tcPr>
            <w:tcW w:type="dxa" w:w="2160"/>
          </w:tcPr>
          <w:p>
            <w:r>
              <w:t>US Growth Stocks (50%)</w:t>
            </w:r>
          </w:p>
        </w:tc>
        <w:tc>
          <w:tcPr>
            <w:tcW w:type="dxa" w:w="2160"/>
          </w:tcPr>
          <w:p>
            <w:r>
              <w:t>$500</w:t>
            </w:r>
          </w:p>
        </w:tc>
        <w:tc>
          <w:tcPr>
            <w:tcW w:type="dxa" w:w="2160"/>
          </w:tcPr>
          <w:p>
            <w:r>
              <w:t>QQQ (Nasdaq 100 ETF)</w:t>
            </w:r>
          </w:p>
        </w:tc>
        <w:tc>
          <w:tcPr>
            <w:tcW w:type="dxa" w:w="2160"/>
          </w:tcPr>
          <w:p>
            <w:r>
              <w:t>10-15%</w:t>
            </w:r>
          </w:p>
        </w:tc>
      </w:tr>
      <w:tr>
        <w:tc>
          <w:tcPr>
            <w:tcW w:type="dxa" w:w="2160"/>
          </w:tcPr>
          <w:p>
            <w:r>
              <w:t>US Total Market (20%)</w:t>
            </w:r>
          </w:p>
        </w:tc>
        <w:tc>
          <w:tcPr>
            <w:tcW w:type="dxa" w:w="2160"/>
          </w:tcPr>
          <w:p>
            <w:r>
              <w:t>$200</w:t>
            </w:r>
          </w:p>
        </w:tc>
        <w:tc>
          <w:tcPr>
            <w:tcW w:type="dxa" w:w="2160"/>
          </w:tcPr>
          <w:p>
            <w:r>
              <w:t>VTI (Total US Market ETF)</w:t>
            </w:r>
          </w:p>
        </w:tc>
        <w:tc>
          <w:tcPr>
            <w:tcW w:type="dxa" w:w="2160"/>
          </w:tcPr>
          <w:p>
            <w:r>
              <w:t>8-12%</w:t>
            </w:r>
          </w:p>
        </w:tc>
      </w:tr>
      <w:tr>
        <w:tc>
          <w:tcPr>
            <w:tcW w:type="dxa" w:w="2160"/>
          </w:tcPr>
          <w:p>
            <w:r>
              <w:t>Small Cap (10%)</w:t>
            </w:r>
          </w:p>
        </w:tc>
        <w:tc>
          <w:tcPr>
            <w:tcW w:type="dxa" w:w="2160"/>
          </w:tcPr>
          <w:p>
            <w:r>
              <w:t>$100</w:t>
            </w:r>
          </w:p>
        </w:tc>
        <w:tc>
          <w:tcPr>
            <w:tcW w:type="dxa" w:w="2160"/>
          </w:tcPr>
          <w:p>
            <w:r>
              <w:t>VB (Small-Cap ETF)</w:t>
            </w:r>
          </w:p>
        </w:tc>
        <w:tc>
          <w:tcPr>
            <w:tcW w:type="dxa" w:w="2160"/>
          </w:tcPr>
          <w:p>
            <w:r>
              <w:t>5-12%</w:t>
            </w:r>
          </w:p>
        </w:tc>
      </w:tr>
      <w:tr>
        <w:tc>
          <w:tcPr>
            <w:tcW w:type="dxa" w:w="2160"/>
          </w:tcPr>
          <w:p>
            <w:r>
              <w:t>International (10%)</w:t>
            </w:r>
          </w:p>
        </w:tc>
        <w:tc>
          <w:tcPr>
            <w:tcW w:type="dxa" w:w="2160"/>
          </w:tcPr>
          <w:p>
            <w:r>
              <w:t>$100</w:t>
            </w:r>
          </w:p>
        </w:tc>
        <w:tc>
          <w:tcPr>
            <w:tcW w:type="dxa" w:w="2160"/>
          </w:tcPr>
          <w:p>
            <w:r>
              <w:t>VXUS (Int'l ETF)</w:t>
            </w:r>
          </w:p>
        </w:tc>
        <w:tc>
          <w:tcPr>
            <w:tcW w:type="dxa" w:w="2160"/>
          </w:tcPr>
          <w:p>
            <w:r>
              <w:t>6-10%</w:t>
            </w:r>
          </w:p>
        </w:tc>
      </w:tr>
      <w:tr>
        <w:tc>
          <w:tcPr>
            <w:tcW w:type="dxa" w:w="2160"/>
          </w:tcPr>
          <w:p>
            <w:r>
              <w:t>Crypto (10%)</w:t>
            </w:r>
          </w:p>
        </w:tc>
        <w:tc>
          <w:tcPr>
            <w:tcW w:type="dxa" w:w="2160"/>
          </w:tcPr>
          <w:p>
            <w:r>
              <w:t>$100</w:t>
            </w:r>
          </w:p>
        </w:tc>
        <w:tc>
          <w:tcPr>
            <w:tcW w:type="dxa" w:w="2160"/>
          </w:tcPr>
          <w:p>
            <w:r>
              <w:t>IBIT (Bitcoin ETF)</w:t>
            </w:r>
          </w:p>
        </w:tc>
        <w:tc>
          <w:tcPr>
            <w:tcW w:type="dxa" w:w="2160"/>
          </w:tcPr>
          <w:p>
            <w:r>
              <w:t>-20% to +40%</w:t>
            </w:r>
          </w:p>
        </w:tc>
      </w:tr>
      <w:tr>
        <w:tc>
          <w:tcPr>
            <w:tcW w:type="dxa" w:w="2160"/>
          </w:tcPr>
          <w:p>
            <w:r>
              <w:t>TOTAL</w:t>
            </w:r>
          </w:p>
        </w:tc>
        <w:tc>
          <w:tcPr>
            <w:tcW w:type="dxa" w:w="2160"/>
          </w:tcPr>
          <w:p>
            <w:r>
              <w:t>$1,000</w:t>
            </w:r>
          </w:p>
        </w:tc>
        <w:tc>
          <w:tcPr>
            <w:tcW w:type="dxa" w:w="2160"/>
          </w:tcPr>
          <w:p>
            <w:r/>
          </w:p>
        </w:tc>
        <w:tc>
          <w:tcPr>
            <w:tcW w:type="dxa" w:w="2160"/>
          </w:tcPr>
          <w:p>
            <w:r>
              <w:t>7-14% blended (wide range)</w:t>
            </w:r>
          </w:p>
        </w:tc>
      </w:tr>
    </w:tbl>
    <w:p>
      <w:r>
        <w:t>12-Month Projected Value: $1,070 - $1,140 (could also be $850-950 in a downturn)</w:t>
      </w:r>
    </w:p>
    <w:p>
      <w:pPr>
        <w:pStyle w:val="Heading2"/>
      </w:pPr>
      <w:r>
        <w:t>3.4 $1,000 Plan — Projected Returns Comparison</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Strategy</w:t>
            </w:r>
          </w:p>
        </w:tc>
        <w:tc>
          <w:tcPr>
            <w:tcW w:type="dxa" w:w="1728"/>
          </w:tcPr>
          <w:p>
            <w:r>
              <w:rPr>
                <w:b/>
              </w:rPr>
              <w:t>Best Case (12mo)</w:t>
            </w:r>
          </w:p>
        </w:tc>
        <w:tc>
          <w:tcPr>
            <w:tcW w:type="dxa" w:w="1728"/>
          </w:tcPr>
          <w:p>
            <w:r>
              <w:rPr>
                <w:b/>
              </w:rPr>
              <w:t>Expected (12mo)</w:t>
            </w:r>
          </w:p>
        </w:tc>
        <w:tc>
          <w:tcPr>
            <w:tcW w:type="dxa" w:w="1728"/>
          </w:tcPr>
          <w:p>
            <w:r>
              <w:rPr>
                <w:b/>
              </w:rPr>
              <w:t>Worst Case (12mo)</w:t>
            </w:r>
          </w:p>
        </w:tc>
        <w:tc>
          <w:tcPr>
            <w:tcW w:type="dxa" w:w="1728"/>
          </w:tcPr>
          <w:p>
            <w:r>
              <w:rPr>
                <w:b/>
              </w:rPr>
              <w:t>Max Drawdown Risk</w:t>
            </w:r>
          </w:p>
        </w:tc>
      </w:tr>
      <w:tr>
        <w:tc>
          <w:tcPr>
            <w:tcW w:type="dxa" w:w="1728"/>
          </w:tcPr>
          <w:p>
            <w:r>
              <w:t>Conservative</w:t>
            </w:r>
          </w:p>
        </w:tc>
        <w:tc>
          <w:tcPr>
            <w:tcW w:type="dxa" w:w="1728"/>
          </w:tcPr>
          <w:p>
            <w:r>
              <w:t>$1,065</w:t>
            </w:r>
          </w:p>
        </w:tc>
        <w:tc>
          <w:tcPr>
            <w:tcW w:type="dxa" w:w="1728"/>
          </w:tcPr>
          <w:p>
            <w:r>
              <w:t>$1,050</w:t>
            </w:r>
          </w:p>
        </w:tc>
        <w:tc>
          <w:tcPr>
            <w:tcW w:type="dxa" w:w="1728"/>
          </w:tcPr>
          <w:p>
            <w:r>
              <w:t>$1,020</w:t>
            </w:r>
          </w:p>
        </w:tc>
        <w:tc>
          <w:tcPr>
            <w:tcW w:type="dxa" w:w="1728"/>
          </w:tcPr>
          <w:p>
            <w:r>
              <w:t>-3%</w:t>
            </w:r>
          </w:p>
        </w:tc>
      </w:tr>
      <w:tr>
        <w:tc>
          <w:tcPr>
            <w:tcW w:type="dxa" w:w="1728"/>
          </w:tcPr>
          <w:p>
            <w:r>
              <w:t>Balanced</w:t>
            </w:r>
          </w:p>
        </w:tc>
        <w:tc>
          <w:tcPr>
            <w:tcW w:type="dxa" w:w="1728"/>
          </w:tcPr>
          <w:p>
            <w:r>
              <w:t>$1,110</w:t>
            </w:r>
          </w:p>
        </w:tc>
        <w:tc>
          <w:tcPr>
            <w:tcW w:type="dxa" w:w="1728"/>
          </w:tcPr>
          <w:p>
            <w:r>
              <w:t>$1,075</w:t>
            </w:r>
          </w:p>
        </w:tc>
        <w:tc>
          <w:tcPr>
            <w:tcW w:type="dxa" w:w="1728"/>
          </w:tcPr>
          <w:p>
            <w:r>
              <w:t>$1,000</w:t>
            </w:r>
          </w:p>
        </w:tc>
        <w:tc>
          <w:tcPr>
            <w:tcW w:type="dxa" w:w="1728"/>
          </w:tcPr>
          <w:p>
            <w:r>
              <w:t>-10%</w:t>
            </w:r>
          </w:p>
        </w:tc>
      </w:tr>
      <w:tr>
        <w:tc>
          <w:tcPr>
            <w:tcW w:type="dxa" w:w="1728"/>
          </w:tcPr>
          <w:p>
            <w:r>
              <w:t>Aggressive</w:t>
            </w:r>
          </w:p>
        </w:tc>
        <w:tc>
          <w:tcPr>
            <w:tcW w:type="dxa" w:w="1728"/>
          </w:tcPr>
          <w:p>
            <w:r>
              <w:t>$1,180</w:t>
            </w:r>
          </w:p>
        </w:tc>
        <w:tc>
          <w:tcPr>
            <w:tcW w:type="dxa" w:w="1728"/>
          </w:tcPr>
          <w:p>
            <w:r>
              <w:t>$1,100</w:t>
            </w:r>
          </w:p>
        </w:tc>
        <w:tc>
          <w:tcPr>
            <w:tcW w:type="dxa" w:w="1728"/>
          </w:tcPr>
          <w:p>
            <w:r>
              <w:t>$850</w:t>
            </w:r>
          </w:p>
        </w:tc>
        <w:tc>
          <w:tcPr>
            <w:tcW w:type="dxa" w:w="1728"/>
          </w:tcPr>
          <w:p>
            <w:r>
              <w:t>-25%</w:t>
            </w:r>
          </w:p>
        </w:tc>
      </w:tr>
      <w:tr>
        <w:tc>
          <w:tcPr>
            <w:tcW w:type="dxa" w:w="1728"/>
          </w:tcPr>
          <w:p>
            <w:r>
              <w:t>Doing Nothing (cash)</w:t>
            </w:r>
          </w:p>
        </w:tc>
        <w:tc>
          <w:tcPr>
            <w:tcW w:type="dxa" w:w="1728"/>
          </w:tcPr>
          <w:p>
            <w:r>
              <w:t>$1,000</w:t>
            </w:r>
          </w:p>
        </w:tc>
        <w:tc>
          <w:tcPr>
            <w:tcW w:type="dxa" w:w="1728"/>
          </w:tcPr>
          <w:p>
            <w:r>
              <w:t>$1,000</w:t>
            </w:r>
          </w:p>
        </w:tc>
        <w:tc>
          <w:tcPr>
            <w:tcW w:type="dxa" w:w="1728"/>
          </w:tcPr>
          <w:p>
            <w:r>
              <w:t>$975 (inflation)</w:t>
            </w:r>
          </w:p>
        </w:tc>
        <w:tc>
          <w:tcPr>
            <w:tcW w:type="dxa" w:w="1728"/>
          </w:tcPr>
          <w:p>
            <w:r>
              <w:t>0% nominal</w:t>
            </w:r>
          </w:p>
        </w:tc>
      </w:tr>
    </w:tbl>
    <w:p>
      <w:pPr>
        <w:pStyle w:val="Heading2"/>
      </w:pPr>
      <w:r>
        <w:t>$1,000 — Specific Action Steps</w:t>
      </w:r>
    </w:p>
    <w:p>
      <w:pPr>
        <w:pStyle w:val="ListNumber"/>
      </w:pPr>
      <w:r>
        <w:t>Open a brokerage account (Fidelity, Charles Schwab, or Vanguard — all free, no minimums)</w:t>
      </w:r>
    </w:p>
    <w:p>
      <w:pPr>
        <w:pStyle w:val="ListNumber"/>
      </w:pPr>
      <w:r>
        <w:t>Open a high-yield savings account (SoFi, Barclays, or Marcus) if you don't have one</w:t>
      </w:r>
    </w:p>
    <w:p>
      <w:pPr>
        <w:pStyle w:val="ListNumber"/>
      </w:pPr>
      <w:r>
        <w:t>Deposit cash allocation into HYSA immediately</w:t>
      </w:r>
    </w:p>
    <w:p>
      <w:pPr>
        <w:pStyle w:val="ListNumber"/>
      </w:pPr>
      <w:r>
        <w:t>Buy ETFs in your brokerage (all commission-free at major brokers)</w:t>
      </w:r>
    </w:p>
    <w:p>
      <w:pPr>
        <w:pStyle w:val="ListNumber"/>
      </w:pPr>
      <w:r>
        <w:t>Set up automatic monthly contributions of $50-100 if possible</w:t>
      </w:r>
    </w:p>
    <w:p>
      <w:pPr>
        <w:pStyle w:val="ListNumber"/>
      </w:pPr>
      <w:r>
        <w:t>Review portfolio quarterly — rebalance only if allocations drift 5%+ from targets</w:t>
      </w:r>
    </w:p>
    <w:p>
      <w:r>
        <w:br w:type="page"/>
      </w:r>
    </w:p>
    <w:p>
      <w:pPr>
        <w:pStyle w:val="Heading1"/>
      </w:pPr>
      <w:r>
        <w:t>Part 4: $5,000 Investment Plan</w:t>
      </w:r>
    </w:p>
    <w:p>
      <w:r>
        <w:t>With $5,000, you can build a properly diversified portfolio across multiple asset classes. This amount unlocks meaningful diversification and allows you to take advantage of sector-specific opportunities while maintaining a solid foundation.</w:t>
      </w:r>
    </w:p>
    <w:p>
      <w:pPr>
        <w:pStyle w:val="Heading2"/>
      </w:pPr>
      <w:r>
        <w:t>4.1 Conservative Strategy (Low Risk)</w:t>
      </w:r>
    </w:p>
    <w:p>
      <w:r>
        <w:t>Best for: Capital preservation, 1-3 year timeline, retirees, those near a major purchase</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Allocation</w:t>
            </w:r>
          </w:p>
        </w:tc>
        <w:tc>
          <w:tcPr>
            <w:tcW w:type="dxa" w:w="2160"/>
          </w:tcPr>
          <w:p>
            <w:r>
              <w:rPr>
                <w:b/>
              </w:rPr>
              <w:t>Amount</w:t>
            </w:r>
          </w:p>
        </w:tc>
        <w:tc>
          <w:tcPr>
            <w:tcW w:type="dxa" w:w="2160"/>
          </w:tcPr>
          <w:p>
            <w:r>
              <w:rPr>
                <w:b/>
              </w:rPr>
              <w:t>Vehicle</w:t>
            </w:r>
          </w:p>
        </w:tc>
        <w:tc>
          <w:tcPr>
            <w:tcW w:type="dxa" w:w="2160"/>
          </w:tcPr>
          <w:p>
            <w:r>
              <w:rPr>
                <w:b/>
              </w:rPr>
              <w:t>Expected Return</w:t>
            </w:r>
          </w:p>
        </w:tc>
      </w:tr>
      <w:tr>
        <w:tc>
          <w:tcPr>
            <w:tcW w:type="dxa" w:w="2160"/>
          </w:tcPr>
          <w:p>
            <w:r>
              <w:t>HYSA (30%)</w:t>
            </w:r>
          </w:p>
        </w:tc>
        <w:tc>
          <w:tcPr>
            <w:tcW w:type="dxa" w:w="2160"/>
          </w:tcPr>
          <w:p>
            <w:r>
              <w:t>$1,500</w:t>
            </w:r>
          </w:p>
        </w:tc>
        <w:tc>
          <w:tcPr>
            <w:tcW w:type="dxa" w:w="2160"/>
          </w:tcPr>
          <w:p>
            <w:r>
              <w:t>SoFi/Barclays @ 4.0% APY</w:t>
            </w:r>
          </w:p>
        </w:tc>
        <w:tc>
          <w:tcPr>
            <w:tcW w:type="dxa" w:w="2160"/>
          </w:tcPr>
          <w:p>
            <w:r>
              <w:t>4.0%</w:t>
            </w:r>
          </w:p>
        </w:tc>
      </w:tr>
      <w:tr>
        <w:tc>
          <w:tcPr>
            <w:tcW w:type="dxa" w:w="2160"/>
          </w:tcPr>
          <w:p>
            <w:r>
              <w:t>Short-Term Bonds (25%)</w:t>
            </w:r>
          </w:p>
        </w:tc>
        <w:tc>
          <w:tcPr>
            <w:tcW w:type="dxa" w:w="2160"/>
          </w:tcPr>
          <w:p>
            <w:r>
              <w:t>$1,250</w:t>
            </w:r>
          </w:p>
        </w:tc>
        <w:tc>
          <w:tcPr>
            <w:tcW w:type="dxa" w:w="2160"/>
          </w:tcPr>
          <w:p>
            <w:r>
              <w:t>VCSH (Short Corp Bond ETF)</w:t>
            </w:r>
          </w:p>
        </w:tc>
        <w:tc>
          <w:tcPr>
            <w:tcW w:type="dxa" w:w="2160"/>
          </w:tcPr>
          <w:p>
            <w:r>
              <w:t>4.5%</w:t>
            </w:r>
          </w:p>
        </w:tc>
      </w:tr>
      <w:tr>
        <w:tc>
          <w:tcPr>
            <w:tcW w:type="dxa" w:w="2160"/>
          </w:tcPr>
          <w:p>
            <w:r>
              <w:t>Intermediate Bonds (20%)</w:t>
            </w:r>
          </w:p>
        </w:tc>
        <w:tc>
          <w:tcPr>
            <w:tcW w:type="dxa" w:w="2160"/>
          </w:tcPr>
          <w:p>
            <w:r>
              <w:t>$1,000</w:t>
            </w:r>
          </w:p>
        </w:tc>
        <w:tc>
          <w:tcPr>
            <w:tcW w:type="dxa" w:w="2160"/>
          </w:tcPr>
          <w:p>
            <w:r>
              <w:t>VGIT (Intermediate Treasury)</w:t>
            </w:r>
          </w:p>
        </w:tc>
        <w:tc>
          <w:tcPr>
            <w:tcW w:type="dxa" w:w="2160"/>
          </w:tcPr>
          <w:p>
            <w:r>
              <w:t>3.8%</w:t>
            </w:r>
          </w:p>
        </w:tc>
      </w:tr>
      <w:tr>
        <w:tc>
          <w:tcPr>
            <w:tcW w:type="dxa" w:w="2160"/>
          </w:tcPr>
          <w:p>
            <w:r>
              <w:t>TIPS (10%)</w:t>
            </w:r>
          </w:p>
        </w:tc>
        <w:tc>
          <w:tcPr>
            <w:tcW w:type="dxa" w:w="2160"/>
          </w:tcPr>
          <w:p>
            <w:r>
              <w:t>$500</w:t>
            </w:r>
          </w:p>
        </w:tc>
        <w:tc>
          <w:tcPr>
            <w:tcW w:type="dxa" w:w="2160"/>
          </w:tcPr>
          <w:p>
            <w:r>
              <w:t>SCHP (Inflation-Protected)</w:t>
            </w:r>
          </w:p>
        </w:tc>
        <w:tc>
          <w:tcPr>
            <w:tcW w:type="dxa" w:w="2160"/>
          </w:tcPr>
          <w:p>
            <w:r>
              <w:t>~4.5% (w/CPI)</w:t>
            </w:r>
          </w:p>
        </w:tc>
      </w:tr>
      <w:tr>
        <w:tc>
          <w:tcPr>
            <w:tcW w:type="dxa" w:w="2160"/>
          </w:tcPr>
          <w:p>
            <w:r>
              <w:t>Dividend Stocks (10%)</w:t>
            </w:r>
          </w:p>
        </w:tc>
        <w:tc>
          <w:tcPr>
            <w:tcW w:type="dxa" w:w="2160"/>
          </w:tcPr>
          <w:p>
            <w:r>
              <w:t>$500</w:t>
            </w:r>
          </w:p>
        </w:tc>
        <w:tc>
          <w:tcPr>
            <w:tcW w:type="dxa" w:w="2160"/>
          </w:tcPr>
          <w:p>
            <w:r>
              <w:t>SCHD (Dividend Growth ETF)</w:t>
            </w:r>
          </w:p>
        </w:tc>
        <w:tc>
          <w:tcPr>
            <w:tcW w:type="dxa" w:w="2160"/>
          </w:tcPr>
          <w:p>
            <w:r>
              <w:t>8-10%</w:t>
            </w:r>
          </w:p>
        </w:tc>
      </w:tr>
      <w:tr>
        <w:tc>
          <w:tcPr>
            <w:tcW w:type="dxa" w:w="2160"/>
          </w:tcPr>
          <w:p>
            <w:r>
              <w:t>Gold (5%)</w:t>
            </w:r>
          </w:p>
        </w:tc>
        <w:tc>
          <w:tcPr>
            <w:tcW w:type="dxa" w:w="2160"/>
          </w:tcPr>
          <w:p>
            <w:r>
              <w:t>$250</w:t>
            </w:r>
          </w:p>
        </w:tc>
        <w:tc>
          <w:tcPr>
            <w:tcW w:type="dxa" w:w="2160"/>
          </w:tcPr>
          <w:p>
            <w:r>
              <w:t>IAU (Gold ETF)</w:t>
            </w:r>
          </w:p>
        </w:tc>
        <w:tc>
          <w:tcPr>
            <w:tcW w:type="dxa" w:w="2160"/>
          </w:tcPr>
          <w:p>
            <w:r>
              <w:t>0-5%</w:t>
            </w:r>
          </w:p>
        </w:tc>
      </w:tr>
      <w:tr>
        <w:tc>
          <w:tcPr>
            <w:tcW w:type="dxa" w:w="2160"/>
          </w:tcPr>
          <w:p>
            <w:r>
              <w:t>TOTAL</w:t>
            </w:r>
          </w:p>
        </w:tc>
        <w:tc>
          <w:tcPr>
            <w:tcW w:type="dxa" w:w="2160"/>
          </w:tcPr>
          <w:p>
            <w:r>
              <w:t>$5,000</w:t>
            </w:r>
          </w:p>
        </w:tc>
        <w:tc>
          <w:tcPr>
            <w:tcW w:type="dxa" w:w="2160"/>
          </w:tcPr>
          <w:p>
            <w:r/>
          </w:p>
        </w:tc>
        <w:tc>
          <w:tcPr>
            <w:tcW w:type="dxa" w:w="2160"/>
          </w:tcPr>
          <w:p>
            <w:r>
              <w:t>4.2-5.5% blended</w:t>
            </w:r>
          </w:p>
        </w:tc>
      </w:tr>
    </w:tbl>
    <w:p>
      <w:r>
        <w:t>12-Month Projected Value: $5,210 - $5,275</w:t>
      </w:r>
    </w:p>
    <w:p>
      <w:pPr>
        <w:pStyle w:val="Heading2"/>
      </w:pPr>
      <w:r>
        <w:t>4.2 Balanced Strategy (Moderate Risk) — RECOMMENDED</w:t>
      </w:r>
    </w:p>
    <w:p>
      <w:r>
        <w:t>Best for: Most investors, 3-7 year horizon, building long-term wealth</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Allocation</w:t>
            </w:r>
          </w:p>
        </w:tc>
        <w:tc>
          <w:tcPr>
            <w:tcW w:type="dxa" w:w="2160"/>
          </w:tcPr>
          <w:p>
            <w:r>
              <w:rPr>
                <w:b/>
              </w:rPr>
              <w:t>Amount</w:t>
            </w:r>
          </w:p>
        </w:tc>
        <w:tc>
          <w:tcPr>
            <w:tcW w:type="dxa" w:w="2160"/>
          </w:tcPr>
          <w:p>
            <w:r>
              <w:rPr>
                <w:b/>
              </w:rPr>
              <w:t>Vehicle</w:t>
            </w:r>
          </w:p>
        </w:tc>
        <w:tc>
          <w:tcPr>
            <w:tcW w:type="dxa" w:w="2160"/>
          </w:tcPr>
          <w:p>
            <w:r>
              <w:rPr>
                <w:b/>
              </w:rPr>
              <w:t>Expected Return</w:t>
            </w:r>
          </w:p>
        </w:tc>
      </w:tr>
      <w:tr>
        <w:tc>
          <w:tcPr>
            <w:tcW w:type="dxa" w:w="2160"/>
          </w:tcPr>
          <w:p>
            <w:r>
              <w:t>HYSA / Cash (15%)</w:t>
            </w:r>
          </w:p>
        </w:tc>
        <w:tc>
          <w:tcPr>
            <w:tcW w:type="dxa" w:w="2160"/>
          </w:tcPr>
          <w:p>
            <w:r>
              <w:t>$750</w:t>
            </w:r>
          </w:p>
        </w:tc>
        <w:tc>
          <w:tcPr>
            <w:tcW w:type="dxa" w:w="2160"/>
          </w:tcPr>
          <w:p>
            <w:r>
              <w:t>High-Yield Savings @ 4.0%</w:t>
            </w:r>
          </w:p>
        </w:tc>
        <w:tc>
          <w:tcPr>
            <w:tcW w:type="dxa" w:w="2160"/>
          </w:tcPr>
          <w:p>
            <w:r>
              <w:t>4.0%</w:t>
            </w:r>
          </w:p>
        </w:tc>
      </w:tr>
      <w:tr>
        <w:tc>
          <w:tcPr>
            <w:tcW w:type="dxa" w:w="2160"/>
          </w:tcPr>
          <w:p>
            <w:r>
              <w:t>US Total Market (30%)</w:t>
            </w:r>
          </w:p>
        </w:tc>
        <w:tc>
          <w:tcPr>
            <w:tcW w:type="dxa" w:w="2160"/>
          </w:tcPr>
          <w:p>
            <w:r>
              <w:t>$1,500</w:t>
            </w:r>
          </w:p>
        </w:tc>
        <w:tc>
          <w:tcPr>
            <w:tcW w:type="dxa" w:w="2160"/>
          </w:tcPr>
          <w:p>
            <w:r>
              <w:t>VTI (Total US Stock Market)</w:t>
            </w:r>
          </w:p>
        </w:tc>
        <w:tc>
          <w:tcPr>
            <w:tcW w:type="dxa" w:w="2160"/>
          </w:tcPr>
          <w:p>
            <w:r>
              <w:t>8-12%</w:t>
            </w:r>
          </w:p>
        </w:tc>
      </w:tr>
      <w:tr>
        <w:tc>
          <w:tcPr>
            <w:tcW w:type="dxa" w:w="2160"/>
          </w:tcPr>
          <w:p>
            <w:r>
              <w:t>International Stocks (15%)</w:t>
            </w:r>
          </w:p>
        </w:tc>
        <w:tc>
          <w:tcPr>
            <w:tcW w:type="dxa" w:w="2160"/>
          </w:tcPr>
          <w:p>
            <w:r>
              <w:t>$750</w:t>
            </w:r>
          </w:p>
        </w:tc>
        <w:tc>
          <w:tcPr>
            <w:tcW w:type="dxa" w:w="2160"/>
          </w:tcPr>
          <w:p>
            <w:r>
              <w:t>VXUS (International)</w:t>
            </w:r>
          </w:p>
        </w:tc>
        <w:tc>
          <w:tcPr>
            <w:tcW w:type="dxa" w:w="2160"/>
          </w:tcPr>
          <w:p>
            <w:r>
              <w:t>6-10%</w:t>
            </w:r>
          </w:p>
        </w:tc>
      </w:tr>
      <w:tr>
        <w:tc>
          <w:tcPr>
            <w:tcW w:type="dxa" w:w="2160"/>
          </w:tcPr>
          <w:p>
            <w:r>
              <w:t>Bonds (15%)</w:t>
            </w:r>
          </w:p>
        </w:tc>
        <w:tc>
          <w:tcPr>
            <w:tcW w:type="dxa" w:w="2160"/>
          </w:tcPr>
          <w:p>
            <w:r>
              <w:t>$750</w:t>
            </w:r>
          </w:p>
        </w:tc>
        <w:tc>
          <w:tcPr>
            <w:tcW w:type="dxa" w:w="2160"/>
          </w:tcPr>
          <w:p>
            <w:r>
              <w:t>BND (Total Bond Market)</w:t>
            </w:r>
          </w:p>
        </w:tc>
        <w:tc>
          <w:tcPr>
            <w:tcW w:type="dxa" w:w="2160"/>
          </w:tcPr>
          <w:p>
            <w:r>
              <w:t>4.0-4.5%</w:t>
            </w:r>
          </w:p>
        </w:tc>
      </w:tr>
      <w:tr>
        <w:tc>
          <w:tcPr>
            <w:tcW w:type="dxa" w:w="2160"/>
          </w:tcPr>
          <w:p>
            <w:r>
              <w:t>Small-Cap Value (7%)</w:t>
            </w:r>
          </w:p>
        </w:tc>
        <w:tc>
          <w:tcPr>
            <w:tcW w:type="dxa" w:w="2160"/>
          </w:tcPr>
          <w:p>
            <w:r>
              <w:t>$350</w:t>
            </w:r>
          </w:p>
        </w:tc>
        <w:tc>
          <w:tcPr>
            <w:tcW w:type="dxa" w:w="2160"/>
          </w:tcPr>
          <w:p>
            <w:r>
              <w:t>VB or AVUV (Small-Cap Value)</w:t>
            </w:r>
          </w:p>
        </w:tc>
        <w:tc>
          <w:tcPr>
            <w:tcW w:type="dxa" w:w="2160"/>
          </w:tcPr>
          <w:p>
            <w:r>
              <w:t>5-12%</w:t>
            </w:r>
          </w:p>
        </w:tc>
      </w:tr>
      <w:tr>
        <w:tc>
          <w:tcPr>
            <w:tcW w:type="dxa" w:w="2160"/>
          </w:tcPr>
          <w:p>
            <w:r>
              <w:t>REITs (7%)</w:t>
            </w:r>
          </w:p>
        </w:tc>
        <w:tc>
          <w:tcPr>
            <w:tcW w:type="dxa" w:w="2160"/>
          </w:tcPr>
          <w:p>
            <w:r>
              <w:t>$350</w:t>
            </w:r>
          </w:p>
        </w:tc>
        <w:tc>
          <w:tcPr>
            <w:tcW w:type="dxa" w:w="2160"/>
          </w:tcPr>
          <w:p>
            <w:r>
              <w:t>VNQ (Real Estate ETF)</w:t>
            </w:r>
          </w:p>
        </w:tc>
        <w:tc>
          <w:tcPr>
            <w:tcW w:type="dxa" w:w="2160"/>
          </w:tcPr>
          <w:p>
            <w:r>
              <w:t>6-10%</w:t>
            </w:r>
          </w:p>
        </w:tc>
      </w:tr>
      <w:tr>
        <w:tc>
          <w:tcPr>
            <w:tcW w:type="dxa" w:w="2160"/>
          </w:tcPr>
          <w:p>
            <w:r>
              <w:t>Gold (6%)</w:t>
            </w:r>
          </w:p>
        </w:tc>
        <w:tc>
          <w:tcPr>
            <w:tcW w:type="dxa" w:w="2160"/>
          </w:tcPr>
          <w:p>
            <w:r>
              <w:t>$300</w:t>
            </w:r>
          </w:p>
        </w:tc>
        <w:tc>
          <w:tcPr>
            <w:tcW w:type="dxa" w:w="2160"/>
          </w:tcPr>
          <w:p>
            <w:r>
              <w:t>IAU (Gold ETF)</w:t>
            </w:r>
          </w:p>
        </w:tc>
        <w:tc>
          <w:tcPr>
            <w:tcW w:type="dxa" w:w="2160"/>
          </w:tcPr>
          <w:p>
            <w:r>
              <w:t>0-5%</w:t>
            </w:r>
          </w:p>
        </w:tc>
      </w:tr>
      <w:tr>
        <w:tc>
          <w:tcPr>
            <w:tcW w:type="dxa" w:w="2160"/>
          </w:tcPr>
          <w:p>
            <w:r>
              <w:t>Crypto (5%)</w:t>
            </w:r>
          </w:p>
        </w:tc>
        <w:tc>
          <w:tcPr>
            <w:tcW w:type="dxa" w:w="2160"/>
          </w:tcPr>
          <w:p>
            <w:r>
              <w:t>$250</w:t>
            </w:r>
          </w:p>
        </w:tc>
        <w:tc>
          <w:tcPr>
            <w:tcW w:type="dxa" w:w="2160"/>
          </w:tcPr>
          <w:p>
            <w:r>
              <w:t>IBIT (Bitcoin ETF)</w:t>
            </w:r>
          </w:p>
        </w:tc>
        <w:tc>
          <w:tcPr>
            <w:tcW w:type="dxa" w:w="2160"/>
          </w:tcPr>
          <w:p>
            <w:r>
              <w:t>-20% to +40%</w:t>
            </w:r>
          </w:p>
        </w:tc>
      </w:tr>
      <w:tr>
        <w:tc>
          <w:tcPr>
            <w:tcW w:type="dxa" w:w="2160"/>
          </w:tcPr>
          <w:p>
            <w:r>
              <w:t>TOTAL</w:t>
            </w:r>
          </w:p>
        </w:tc>
        <w:tc>
          <w:tcPr>
            <w:tcW w:type="dxa" w:w="2160"/>
          </w:tcPr>
          <w:p>
            <w:r>
              <w:t>$5,000</w:t>
            </w:r>
          </w:p>
        </w:tc>
        <w:tc>
          <w:tcPr>
            <w:tcW w:type="dxa" w:w="2160"/>
          </w:tcPr>
          <w:p>
            <w:r/>
          </w:p>
        </w:tc>
        <w:tc>
          <w:tcPr>
            <w:tcW w:type="dxa" w:w="2160"/>
          </w:tcPr>
          <w:p>
            <w:r>
              <w:t>6.5-9.0% blended</w:t>
            </w:r>
          </w:p>
        </w:tc>
      </w:tr>
    </w:tbl>
    <w:p>
      <w:r>
        <w:t>12-Month Projected Value: $5,325 - $5,450</w:t>
      </w:r>
    </w:p>
    <w:p>
      <w:pPr>
        <w:pStyle w:val="Heading2"/>
      </w:pPr>
      <w:r>
        <w:t>4.3 Aggressive Strategy (Higher Risk)</w:t>
      </w:r>
    </w:p>
    <w:p>
      <w:r>
        <w:t>Best for: Young investors, 7+ year horizon, high income earners who won't need this money</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Allocation</w:t>
            </w:r>
          </w:p>
        </w:tc>
        <w:tc>
          <w:tcPr>
            <w:tcW w:type="dxa" w:w="2160"/>
          </w:tcPr>
          <w:p>
            <w:r>
              <w:rPr>
                <w:b/>
              </w:rPr>
              <w:t>Amount</w:t>
            </w:r>
          </w:p>
        </w:tc>
        <w:tc>
          <w:tcPr>
            <w:tcW w:type="dxa" w:w="2160"/>
          </w:tcPr>
          <w:p>
            <w:r>
              <w:rPr>
                <w:b/>
              </w:rPr>
              <w:t>Vehicle</w:t>
            </w:r>
          </w:p>
        </w:tc>
        <w:tc>
          <w:tcPr>
            <w:tcW w:type="dxa" w:w="2160"/>
          </w:tcPr>
          <w:p>
            <w:r>
              <w:rPr>
                <w:b/>
              </w:rPr>
              <w:t>Expected Return</w:t>
            </w:r>
          </w:p>
        </w:tc>
      </w:tr>
      <w:tr>
        <w:tc>
          <w:tcPr>
            <w:tcW w:type="dxa" w:w="2160"/>
          </w:tcPr>
          <w:p>
            <w:r>
              <w:t>US Growth (35%)</w:t>
            </w:r>
          </w:p>
        </w:tc>
        <w:tc>
          <w:tcPr>
            <w:tcW w:type="dxa" w:w="2160"/>
          </w:tcPr>
          <w:p>
            <w:r>
              <w:t>$1,750</w:t>
            </w:r>
          </w:p>
        </w:tc>
        <w:tc>
          <w:tcPr>
            <w:tcW w:type="dxa" w:w="2160"/>
          </w:tcPr>
          <w:p>
            <w:r>
              <w:t>QQQ (Nasdaq 100)</w:t>
            </w:r>
          </w:p>
        </w:tc>
        <w:tc>
          <w:tcPr>
            <w:tcW w:type="dxa" w:w="2160"/>
          </w:tcPr>
          <w:p>
            <w:r>
              <w:t>10-15%</w:t>
            </w:r>
          </w:p>
        </w:tc>
      </w:tr>
      <w:tr>
        <w:tc>
          <w:tcPr>
            <w:tcW w:type="dxa" w:w="2160"/>
          </w:tcPr>
          <w:p>
            <w:r>
              <w:t>US Total Market (20%)</w:t>
            </w:r>
          </w:p>
        </w:tc>
        <w:tc>
          <w:tcPr>
            <w:tcW w:type="dxa" w:w="2160"/>
          </w:tcPr>
          <w:p>
            <w:r>
              <w:t>$1,000</w:t>
            </w:r>
          </w:p>
        </w:tc>
        <w:tc>
          <w:tcPr>
            <w:tcW w:type="dxa" w:w="2160"/>
          </w:tcPr>
          <w:p>
            <w:r>
              <w:t>VTI (Total Market)</w:t>
            </w:r>
          </w:p>
        </w:tc>
        <w:tc>
          <w:tcPr>
            <w:tcW w:type="dxa" w:w="2160"/>
          </w:tcPr>
          <w:p>
            <w:r>
              <w:t>8-12%</w:t>
            </w:r>
          </w:p>
        </w:tc>
      </w:tr>
      <w:tr>
        <w:tc>
          <w:tcPr>
            <w:tcW w:type="dxa" w:w="2160"/>
          </w:tcPr>
          <w:p>
            <w:r>
              <w:t>Small-Cap (10%)</w:t>
            </w:r>
          </w:p>
        </w:tc>
        <w:tc>
          <w:tcPr>
            <w:tcW w:type="dxa" w:w="2160"/>
          </w:tcPr>
          <w:p>
            <w:r>
              <w:t>$500</w:t>
            </w:r>
          </w:p>
        </w:tc>
        <w:tc>
          <w:tcPr>
            <w:tcW w:type="dxa" w:w="2160"/>
          </w:tcPr>
          <w:p>
            <w:r>
              <w:t>VB (Small-Cap ETF)</w:t>
            </w:r>
          </w:p>
        </w:tc>
        <w:tc>
          <w:tcPr>
            <w:tcW w:type="dxa" w:w="2160"/>
          </w:tcPr>
          <w:p>
            <w:r>
              <w:t>5-12%</w:t>
            </w:r>
          </w:p>
        </w:tc>
      </w:tr>
      <w:tr>
        <w:tc>
          <w:tcPr>
            <w:tcW w:type="dxa" w:w="2160"/>
          </w:tcPr>
          <w:p>
            <w:r>
              <w:t>International (10%)</w:t>
            </w:r>
          </w:p>
        </w:tc>
        <w:tc>
          <w:tcPr>
            <w:tcW w:type="dxa" w:w="2160"/>
          </w:tcPr>
          <w:p>
            <w:r>
              <w:t>$500</w:t>
            </w:r>
          </w:p>
        </w:tc>
        <w:tc>
          <w:tcPr>
            <w:tcW w:type="dxa" w:w="2160"/>
          </w:tcPr>
          <w:p>
            <w:r>
              <w:t>VXUS (International)</w:t>
            </w:r>
          </w:p>
        </w:tc>
        <w:tc>
          <w:tcPr>
            <w:tcW w:type="dxa" w:w="2160"/>
          </w:tcPr>
          <w:p>
            <w:r>
              <w:t>6-10%</w:t>
            </w:r>
          </w:p>
        </w:tc>
      </w:tr>
      <w:tr>
        <w:tc>
          <w:tcPr>
            <w:tcW w:type="dxa" w:w="2160"/>
          </w:tcPr>
          <w:p>
            <w:r>
              <w:t>AI/Tech Sector (10%)</w:t>
            </w:r>
          </w:p>
        </w:tc>
        <w:tc>
          <w:tcPr>
            <w:tcW w:type="dxa" w:w="2160"/>
          </w:tcPr>
          <w:p>
            <w:r>
              <w:t>$500</w:t>
            </w:r>
          </w:p>
        </w:tc>
        <w:tc>
          <w:tcPr>
            <w:tcW w:type="dxa" w:w="2160"/>
          </w:tcPr>
          <w:p>
            <w:r>
              <w:t>SMH (Semiconductor ETF) or ARKK</w:t>
            </w:r>
          </w:p>
        </w:tc>
        <w:tc>
          <w:tcPr>
            <w:tcW w:type="dxa" w:w="2160"/>
          </w:tcPr>
          <w:p>
            <w:r>
              <w:t>5-20%</w:t>
            </w:r>
          </w:p>
        </w:tc>
      </w:tr>
      <w:tr>
        <w:tc>
          <w:tcPr>
            <w:tcW w:type="dxa" w:w="2160"/>
          </w:tcPr>
          <w:p>
            <w:r>
              <w:t>Crypto (10%)</w:t>
            </w:r>
          </w:p>
        </w:tc>
        <w:tc>
          <w:tcPr>
            <w:tcW w:type="dxa" w:w="2160"/>
          </w:tcPr>
          <w:p>
            <w:r>
              <w:t>$500</w:t>
            </w:r>
          </w:p>
        </w:tc>
        <w:tc>
          <w:tcPr>
            <w:tcW w:type="dxa" w:w="2160"/>
          </w:tcPr>
          <w:p>
            <w:r>
              <w:t>IBIT + ETHA (BTC + ETH)</w:t>
            </w:r>
          </w:p>
        </w:tc>
        <w:tc>
          <w:tcPr>
            <w:tcW w:type="dxa" w:w="2160"/>
          </w:tcPr>
          <w:p>
            <w:r>
              <w:t>-30% to +50%</w:t>
            </w:r>
          </w:p>
        </w:tc>
      </w:tr>
      <w:tr>
        <w:tc>
          <w:tcPr>
            <w:tcW w:type="dxa" w:w="2160"/>
          </w:tcPr>
          <w:p>
            <w:r>
              <w:t>Gold (5%)</w:t>
            </w:r>
          </w:p>
        </w:tc>
        <w:tc>
          <w:tcPr>
            <w:tcW w:type="dxa" w:w="2160"/>
          </w:tcPr>
          <w:p>
            <w:r>
              <w:t>$250</w:t>
            </w:r>
          </w:p>
        </w:tc>
        <w:tc>
          <w:tcPr>
            <w:tcW w:type="dxa" w:w="2160"/>
          </w:tcPr>
          <w:p>
            <w:r>
              <w:t>IAU (Gold ETF)</w:t>
            </w:r>
          </w:p>
        </w:tc>
        <w:tc>
          <w:tcPr>
            <w:tcW w:type="dxa" w:w="2160"/>
          </w:tcPr>
          <w:p>
            <w:r>
              <w:t>0-5%</w:t>
            </w:r>
          </w:p>
        </w:tc>
      </w:tr>
      <w:tr>
        <w:tc>
          <w:tcPr>
            <w:tcW w:type="dxa" w:w="2160"/>
          </w:tcPr>
          <w:p>
            <w:r>
              <w:t>TOTAL</w:t>
            </w:r>
          </w:p>
        </w:tc>
        <w:tc>
          <w:tcPr>
            <w:tcW w:type="dxa" w:w="2160"/>
          </w:tcPr>
          <w:p>
            <w:r>
              <w:t>$5,000</w:t>
            </w:r>
          </w:p>
        </w:tc>
        <w:tc>
          <w:tcPr>
            <w:tcW w:type="dxa" w:w="2160"/>
          </w:tcPr>
          <w:p>
            <w:r/>
          </w:p>
        </w:tc>
        <w:tc>
          <w:tcPr>
            <w:tcW w:type="dxa" w:w="2160"/>
          </w:tcPr>
          <w:p>
            <w:r>
              <w:t>8-15% blended (wide range)</w:t>
            </w:r>
          </w:p>
        </w:tc>
      </w:tr>
    </w:tbl>
    <w:p>
      <w:r>
        <w:t>12-Month Projected Value: $5,400 - $5,750 (could also be $3,750-4,250 in severe downturn)</w:t>
      </w:r>
    </w:p>
    <w:p>
      <w:pPr>
        <w:pStyle w:val="Heading2"/>
      </w:pPr>
      <w:r>
        <w:t>4.4 $5,000 Plan — Projected Returns Comparison</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Strategy</w:t>
            </w:r>
          </w:p>
        </w:tc>
        <w:tc>
          <w:tcPr>
            <w:tcW w:type="dxa" w:w="1728"/>
          </w:tcPr>
          <w:p>
            <w:r>
              <w:rPr>
                <w:b/>
              </w:rPr>
              <w:t>Best Case (12mo)</w:t>
            </w:r>
          </w:p>
        </w:tc>
        <w:tc>
          <w:tcPr>
            <w:tcW w:type="dxa" w:w="1728"/>
          </w:tcPr>
          <w:p>
            <w:r>
              <w:rPr>
                <w:b/>
              </w:rPr>
              <w:t>Expected (12mo)</w:t>
            </w:r>
          </w:p>
        </w:tc>
        <w:tc>
          <w:tcPr>
            <w:tcW w:type="dxa" w:w="1728"/>
          </w:tcPr>
          <w:p>
            <w:r>
              <w:rPr>
                <w:b/>
              </w:rPr>
              <w:t>Worst Case (12mo)</w:t>
            </w:r>
          </w:p>
        </w:tc>
        <w:tc>
          <w:tcPr>
            <w:tcW w:type="dxa" w:w="1728"/>
          </w:tcPr>
          <w:p>
            <w:r>
              <w:rPr>
                <w:b/>
              </w:rPr>
              <w:t>Max Drawdown</w:t>
            </w:r>
          </w:p>
        </w:tc>
      </w:tr>
      <w:tr>
        <w:tc>
          <w:tcPr>
            <w:tcW w:type="dxa" w:w="1728"/>
          </w:tcPr>
          <w:p>
            <w:r>
              <w:t>Conservative</w:t>
            </w:r>
          </w:p>
        </w:tc>
        <w:tc>
          <w:tcPr>
            <w:tcW w:type="dxa" w:w="1728"/>
          </w:tcPr>
          <w:p>
            <w:r>
              <w:t>$5,350</w:t>
            </w:r>
          </w:p>
        </w:tc>
        <w:tc>
          <w:tcPr>
            <w:tcW w:type="dxa" w:w="1728"/>
          </w:tcPr>
          <w:p>
            <w:r>
              <w:t>$5,240</w:t>
            </w:r>
          </w:p>
        </w:tc>
        <w:tc>
          <w:tcPr>
            <w:tcW w:type="dxa" w:w="1728"/>
          </w:tcPr>
          <w:p>
            <w:r>
              <w:t>$4,900</w:t>
            </w:r>
          </w:p>
        </w:tc>
        <w:tc>
          <w:tcPr>
            <w:tcW w:type="dxa" w:w="1728"/>
          </w:tcPr>
          <w:p>
            <w:r>
              <w:t>-5%</w:t>
            </w:r>
          </w:p>
        </w:tc>
      </w:tr>
      <w:tr>
        <w:tc>
          <w:tcPr>
            <w:tcW w:type="dxa" w:w="1728"/>
          </w:tcPr>
          <w:p>
            <w:r>
              <w:t>Balanced</w:t>
            </w:r>
          </w:p>
        </w:tc>
        <w:tc>
          <w:tcPr>
            <w:tcW w:type="dxa" w:w="1728"/>
          </w:tcPr>
          <w:p>
            <w:r>
              <w:t>$5,600</w:t>
            </w:r>
          </w:p>
        </w:tc>
        <w:tc>
          <w:tcPr>
            <w:tcW w:type="dxa" w:w="1728"/>
          </w:tcPr>
          <w:p>
            <w:r>
              <w:t>$5,400</w:t>
            </w:r>
          </w:p>
        </w:tc>
        <w:tc>
          <w:tcPr>
            <w:tcW w:type="dxa" w:w="1728"/>
          </w:tcPr>
          <w:p>
            <w:r>
              <w:t>$4,500</w:t>
            </w:r>
          </w:p>
        </w:tc>
        <w:tc>
          <w:tcPr>
            <w:tcW w:type="dxa" w:w="1728"/>
          </w:tcPr>
          <w:p>
            <w:r>
              <w:t>-12%</w:t>
            </w:r>
          </w:p>
        </w:tc>
      </w:tr>
      <w:tr>
        <w:tc>
          <w:tcPr>
            <w:tcW w:type="dxa" w:w="1728"/>
          </w:tcPr>
          <w:p>
            <w:r>
              <w:t>Aggressive</w:t>
            </w:r>
          </w:p>
        </w:tc>
        <w:tc>
          <w:tcPr>
            <w:tcW w:type="dxa" w:w="1728"/>
          </w:tcPr>
          <w:p>
            <w:r>
              <w:t>$6,000</w:t>
            </w:r>
          </w:p>
        </w:tc>
        <w:tc>
          <w:tcPr>
            <w:tcW w:type="dxa" w:w="1728"/>
          </w:tcPr>
          <w:p>
            <w:r>
              <w:t>$5,550</w:t>
            </w:r>
          </w:p>
        </w:tc>
        <w:tc>
          <w:tcPr>
            <w:tcW w:type="dxa" w:w="1728"/>
          </w:tcPr>
          <w:p>
            <w:r>
              <w:t>$3,750</w:t>
            </w:r>
          </w:p>
        </w:tc>
        <w:tc>
          <w:tcPr>
            <w:tcW w:type="dxa" w:w="1728"/>
          </w:tcPr>
          <w:p>
            <w:r>
              <w:t>-30%</w:t>
            </w:r>
          </w:p>
        </w:tc>
      </w:tr>
    </w:tbl>
    <w:p>
      <w:pPr>
        <w:pStyle w:val="Heading2"/>
      </w:pPr>
      <w:r>
        <w:t>$5,000 — Specific Action Steps</w:t>
      </w:r>
    </w:p>
    <w:p>
      <w:pPr>
        <w:pStyle w:val="ListNumber"/>
      </w:pPr>
      <w:r>
        <w:t>Open accounts: Brokerage (Fidelity/Schwab) + HYSA (SoFi/Barclays) + Roth IRA if eligible</w:t>
      </w:r>
    </w:p>
    <w:p>
      <w:pPr>
        <w:pStyle w:val="ListNumber"/>
      </w:pPr>
      <w:r>
        <w:t>PRIORITY: If you have no Roth IRA, put up to $5,000 into a Roth IRA first (tax-free growth forever)</w:t>
      </w:r>
    </w:p>
    <w:p>
      <w:pPr>
        <w:pStyle w:val="ListNumber"/>
      </w:pPr>
      <w:r>
        <w:t>Deploy 50% of investment funds immediately (lump sum)</w:t>
      </w:r>
    </w:p>
    <w:p>
      <w:pPr>
        <w:pStyle w:val="ListNumber"/>
      </w:pPr>
      <w:r>
        <w:t>Deploy remaining 50% over 4-8 weeks via dollar-cost averaging</w:t>
      </w:r>
    </w:p>
    <w:p>
      <w:pPr>
        <w:pStyle w:val="ListNumber"/>
      </w:pPr>
      <w:r>
        <w:t>Set up $200-500/month automatic contributions</w:t>
      </w:r>
    </w:p>
    <w:p>
      <w:pPr>
        <w:pStyle w:val="ListNumber"/>
      </w:pPr>
      <w:r>
        <w:t>Review and rebalance quarterly</w:t>
      </w:r>
    </w:p>
    <w:p/>
    <w:p>
      <w:r>
        <w:rPr>
          <w:b/>
        </w:rPr>
        <w:t>IMPORTANT: Roth IRA Advantage</w:t>
      </w:r>
    </w:p>
    <w:p>
      <w:r>
        <w:t>If you are under the income limit ($161K single / $240K married in 2026), strongly consider investing inside a Roth IRA. All gains are TAX-FREE when you withdraw in retirement. On a $5,000 investment growing at 8% for 30 years, the tax savings alone could be worth $30,000+.</w:t>
      </w:r>
    </w:p>
    <w:p>
      <w:r>
        <w:br w:type="page"/>
      </w:r>
    </w:p>
    <w:p>
      <w:pPr>
        <w:pStyle w:val="Heading1"/>
      </w:pPr>
      <w:r>
        <w:t>Part 5: $10,000 Investment Plan</w:t>
      </w:r>
    </w:p>
    <w:p>
      <w:r>
        <w:t>With $10,000, you can build a comprehensive, well-diversified portfolio that mirrors institutional strategies. This amount allows meaningful positions across all major asset classes, access to sector-specific plays, and proper risk management through diversification.</w:t>
      </w:r>
    </w:p>
    <w:p>
      <w:pPr>
        <w:pStyle w:val="Heading2"/>
      </w:pPr>
      <w:r>
        <w:t>5.1 Conservative Strategy (Capital Preservation)</w:t>
      </w:r>
    </w:p>
    <w:p>
      <w:r>
        <w:t>Best for: Near-retirement, saving for house down payment in 1-3 years, very risk-averse</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Allocation</w:t>
            </w:r>
          </w:p>
        </w:tc>
        <w:tc>
          <w:tcPr>
            <w:tcW w:type="dxa" w:w="2160"/>
          </w:tcPr>
          <w:p>
            <w:r>
              <w:rPr>
                <w:b/>
              </w:rPr>
              <w:t>Amount</w:t>
            </w:r>
          </w:p>
        </w:tc>
        <w:tc>
          <w:tcPr>
            <w:tcW w:type="dxa" w:w="2160"/>
          </w:tcPr>
          <w:p>
            <w:r>
              <w:rPr>
                <w:b/>
              </w:rPr>
              <w:t>Vehicle</w:t>
            </w:r>
          </w:p>
        </w:tc>
        <w:tc>
          <w:tcPr>
            <w:tcW w:type="dxa" w:w="2160"/>
          </w:tcPr>
          <w:p>
            <w:r>
              <w:rPr>
                <w:b/>
              </w:rPr>
              <w:t>Expected Return</w:t>
            </w:r>
          </w:p>
        </w:tc>
      </w:tr>
      <w:tr>
        <w:tc>
          <w:tcPr>
            <w:tcW w:type="dxa" w:w="2160"/>
          </w:tcPr>
          <w:p>
            <w:r>
              <w:t>HYSA (25%)</w:t>
            </w:r>
          </w:p>
        </w:tc>
        <w:tc>
          <w:tcPr>
            <w:tcW w:type="dxa" w:w="2160"/>
          </w:tcPr>
          <w:p>
            <w:r>
              <w:t>$2,500</w:t>
            </w:r>
          </w:p>
        </w:tc>
        <w:tc>
          <w:tcPr>
            <w:tcW w:type="dxa" w:w="2160"/>
          </w:tcPr>
          <w:p>
            <w:r>
              <w:t>High-Yield Savings @ 4.0%</w:t>
            </w:r>
          </w:p>
        </w:tc>
        <w:tc>
          <w:tcPr>
            <w:tcW w:type="dxa" w:w="2160"/>
          </w:tcPr>
          <w:p>
            <w:r>
              <w:t>4.0%</w:t>
            </w:r>
          </w:p>
        </w:tc>
      </w:tr>
      <w:tr>
        <w:tc>
          <w:tcPr>
            <w:tcW w:type="dxa" w:w="2160"/>
          </w:tcPr>
          <w:p>
            <w:r>
              <w:t>Short-Term Bonds (20%)</w:t>
            </w:r>
          </w:p>
        </w:tc>
        <w:tc>
          <w:tcPr>
            <w:tcW w:type="dxa" w:w="2160"/>
          </w:tcPr>
          <w:p>
            <w:r>
              <w:t>$2,000</w:t>
            </w:r>
          </w:p>
        </w:tc>
        <w:tc>
          <w:tcPr>
            <w:tcW w:type="dxa" w:w="2160"/>
          </w:tcPr>
          <w:p>
            <w:r>
              <w:t>VCSH (Short Corp Bond)</w:t>
            </w:r>
          </w:p>
        </w:tc>
        <w:tc>
          <w:tcPr>
            <w:tcW w:type="dxa" w:w="2160"/>
          </w:tcPr>
          <w:p>
            <w:r>
              <w:t>4.5%</w:t>
            </w:r>
          </w:p>
        </w:tc>
      </w:tr>
      <w:tr>
        <w:tc>
          <w:tcPr>
            <w:tcW w:type="dxa" w:w="2160"/>
          </w:tcPr>
          <w:p>
            <w:r>
              <w:t>Intermediate Treasury (15%)</w:t>
            </w:r>
          </w:p>
        </w:tc>
        <w:tc>
          <w:tcPr>
            <w:tcW w:type="dxa" w:w="2160"/>
          </w:tcPr>
          <w:p>
            <w:r>
              <w:t>$1,500</w:t>
            </w:r>
          </w:p>
        </w:tc>
        <w:tc>
          <w:tcPr>
            <w:tcW w:type="dxa" w:w="2160"/>
          </w:tcPr>
          <w:p>
            <w:r>
              <w:t>VGIT (3-10yr Treasury)</w:t>
            </w:r>
          </w:p>
        </w:tc>
        <w:tc>
          <w:tcPr>
            <w:tcW w:type="dxa" w:w="2160"/>
          </w:tcPr>
          <w:p>
            <w:r>
              <w:t>3.8%</w:t>
            </w:r>
          </w:p>
        </w:tc>
      </w:tr>
      <w:tr>
        <w:tc>
          <w:tcPr>
            <w:tcW w:type="dxa" w:w="2160"/>
          </w:tcPr>
          <w:p>
            <w:r>
              <w:t>TIPS (10%)</w:t>
            </w:r>
          </w:p>
        </w:tc>
        <w:tc>
          <w:tcPr>
            <w:tcW w:type="dxa" w:w="2160"/>
          </w:tcPr>
          <w:p>
            <w:r>
              <w:t>$1,000</w:t>
            </w:r>
          </w:p>
        </w:tc>
        <w:tc>
          <w:tcPr>
            <w:tcW w:type="dxa" w:w="2160"/>
          </w:tcPr>
          <w:p>
            <w:r>
              <w:t>SCHP (Inflation-Protected)</w:t>
            </w:r>
          </w:p>
        </w:tc>
        <w:tc>
          <w:tcPr>
            <w:tcW w:type="dxa" w:w="2160"/>
          </w:tcPr>
          <w:p>
            <w:r>
              <w:t>~4.5%</w:t>
            </w:r>
          </w:p>
        </w:tc>
      </w:tr>
      <w:tr>
        <w:tc>
          <w:tcPr>
            <w:tcW w:type="dxa" w:w="2160"/>
          </w:tcPr>
          <w:p>
            <w:r>
              <w:t>Dividend Stocks (15%)</w:t>
            </w:r>
          </w:p>
        </w:tc>
        <w:tc>
          <w:tcPr>
            <w:tcW w:type="dxa" w:w="2160"/>
          </w:tcPr>
          <w:p>
            <w:r>
              <w:t>$1,500</w:t>
            </w:r>
          </w:p>
        </w:tc>
        <w:tc>
          <w:tcPr>
            <w:tcW w:type="dxa" w:w="2160"/>
          </w:tcPr>
          <w:p>
            <w:r>
              <w:t>SCHD (Dividend Growth)</w:t>
            </w:r>
          </w:p>
        </w:tc>
        <w:tc>
          <w:tcPr>
            <w:tcW w:type="dxa" w:w="2160"/>
          </w:tcPr>
          <w:p>
            <w:r>
              <w:t>8-10%</w:t>
            </w:r>
          </w:p>
        </w:tc>
      </w:tr>
      <w:tr>
        <w:tc>
          <w:tcPr>
            <w:tcW w:type="dxa" w:w="2160"/>
          </w:tcPr>
          <w:p>
            <w:r>
              <w:t>International Bonds (5%)</w:t>
            </w:r>
          </w:p>
        </w:tc>
        <w:tc>
          <w:tcPr>
            <w:tcW w:type="dxa" w:w="2160"/>
          </w:tcPr>
          <w:p>
            <w:r>
              <w:t>$500</w:t>
            </w:r>
          </w:p>
        </w:tc>
        <w:tc>
          <w:tcPr>
            <w:tcW w:type="dxa" w:w="2160"/>
          </w:tcPr>
          <w:p>
            <w:r>
              <w:t>BNDX (Int'l Bond ETF)</w:t>
            </w:r>
          </w:p>
        </w:tc>
        <w:tc>
          <w:tcPr>
            <w:tcW w:type="dxa" w:w="2160"/>
          </w:tcPr>
          <w:p>
            <w:r>
              <w:t>3.5%</w:t>
            </w:r>
          </w:p>
        </w:tc>
      </w:tr>
      <w:tr>
        <w:tc>
          <w:tcPr>
            <w:tcW w:type="dxa" w:w="2160"/>
          </w:tcPr>
          <w:p>
            <w:r>
              <w:t>Gold (5%)</w:t>
            </w:r>
          </w:p>
        </w:tc>
        <w:tc>
          <w:tcPr>
            <w:tcW w:type="dxa" w:w="2160"/>
          </w:tcPr>
          <w:p>
            <w:r>
              <w:t>$500</w:t>
            </w:r>
          </w:p>
        </w:tc>
        <w:tc>
          <w:tcPr>
            <w:tcW w:type="dxa" w:w="2160"/>
          </w:tcPr>
          <w:p>
            <w:r>
              <w:t>IAU (Gold ETF)</w:t>
            </w:r>
          </w:p>
        </w:tc>
        <w:tc>
          <w:tcPr>
            <w:tcW w:type="dxa" w:w="2160"/>
          </w:tcPr>
          <w:p>
            <w:r>
              <w:t>0-5%</w:t>
            </w:r>
          </w:p>
        </w:tc>
      </w:tr>
      <w:tr>
        <w:tc>
          <w:tcPr>
            <w:tcW w:type="dxa" w:w="2160"/>
          </w:tcPr>
          <w:p>
            <w:r>
              <w:t>REITs (5%)</w:t>
            </w:r>
          </w:p>
        </w:tc>
        <w:tc>
          <w:tcPr>
            <w:tcW w:type="dxa" w:w="2160"/>
          </w:tcPr>
          <w:p>
            <w:r>
              <w:t>$500</w:t>
            </w:r>
          </w:p>
        </w:tc>
        <w:tc>
          <w:tcPr>
            <w:tcW w:type="dxa" w:w="2160"/>
          </w:tcPr>
          <w:p>
            <w:r>
              <w:t>VNQ (Real Estate ETF)</w:t>
            </w:r>
          </w:p>
        </w:tc>
        <w:tc>
          <w:tcPr>
            <w:tcW w:type="dxa" w:w="2160"/>
          </w:tcPr>
          <w:p>
            <w:r>
              <w:t>6-10%</w:t>
            </w:r>
          </w:p>
        </w:tc>
      </w:tr>
      <w:tr>
        <w:tc>
          <w:tcPr>
            <w:tcW w:type="dxa" w:w="2160"/>
          </w:tcPr>
          <w:p>
            <w:r>
              <w:t>TOTAL</w:t>
            </w:r>
          </w:p>
        </w:tc>
        <w:tc>
          <w:tcPr>
            <w:tcW w:type="dxa" w:w="2160"/>
          </w:tcPr>
          <w:p>
            <w:r>
              <w:t>$10,000</w:t>
            </w:r>
          </w:p>
        </w:tc>
        <w:tc>
          <w:tcPr>
            <w:tcW w:type="dxa" w:w="2160"/>
          </w:tcPr>
          <w:p>
            <w:r/>
          </w:p>
        </w:tc>
        <w:tc>
          <w:tcPr>
            <w:tcW w:type="dxa" w:w="2160"/>
          </w:tcPr>
          <w:p>
            <w:r>
              <w:t>4.5-5.8% blended</w:t>
            </w:r>
          </w:p>
        </w:tc>
      </w:tr>
    </w:tbl>
    <w:p>
      <w:r>
        <w:t>12-Month Projected Value: $10,450 - $10,580</w:t>
      </w:r>
    </w:p>
    <w:p>
      <w:pPr>
        <w:pStyle w:val="Heading2"/>
      </w:pPr>
      <w:r>
        <w:t>5.2 Balanced Strategy (Wealth Builder) — RECOMMENDED</w:t>
      </w:r>
    </w:p>
    <w:p>
      <w:r>
        <w:t>Best for: Most investors, 5-10+ year horizon, building serious wealth</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Allocation</w:t>
            </w:r>
          </w:p>
        </w:tc>
        <w:tc>
          <w:tcPr>
            <w:tcW w:type="dxa" w:w="2160"/>
          </w:tcPr>
          <w:p>
            <w:r>
              <w:rPr>
                <w:b/>
              </w:rPr>
              <w:t>Amount</w:t>
            </w:r>
          </w:p>
        </w:tc>
        <w:tc>
          <w:tcPr>
            <w:tcW w:type="dxa" w:w="2160"/>
          </w:tcPr>
          <w:p>
            <w:r>
              <w:rPr>
                <w:b/>
              </w:rPr>
              <w:t>Vehicle</w:t>
            </w:r>
          </w:p>
        </w:tc>
        <w:tc>
          <w:tcPr>
            <w:tcW w:type="dxa" w:w="2160"/>
          </w:tcPr>
          <w:p>
            <w:r>
              <w:rPr>
                <w:b/>
              </w:rPr>
              <w:t>Expected Return</w:t>
            </w:r>
          </w:p>
        </w:tc>
      </w:tr>
      <w:tr>
        <w:tc>
          <w:tcPr>
            <w:tcW w:type="dxa" w:w="2160"/>
          </w:tcPr>
          <w:p>
            <w:r>
              <w:t>HYSA / Cash (10%)</w:t>
            </w:r>
          </w:p>
        </w:tc>
        <w:tc>
          <w:tcPr>
            <w:tcW w:type="dxa" w:w="2160"/>
          </w:tcPr>
          <w:p>
            <w:r>
              <w:t>$1,000</w:t>
            </w:r>
          </w:p>
        </w:tc>
        <w:tc>
          <w:tcPr>
            <w:tcW w:type="dxa" w:w="2160"/>
          </w:tcPr>
          <w:p>
            <w:r>
              <w:t>High-Yield Savings @ 4.0%</w:t>
            </w:r>
          </w:p>
        </w:tc>
        <w:tc>
          <w:tcPr>
            <w:tcW w:type="dxa" w:w="2160"/>
          </w:tcPr>
          <w:p>
            <w:r>
              <w:t>4.0%</w:t>
            </w:r>
          </w:p>
        </w:tc>
      </w:tr>
      <w:tr>
        <w:tc>
          <w:tcPr>
            <w:tcW w:type="dxa" w:w="2160"/>
          </w:tcPr>
          <w:p>
            <w:r>
              <w:t>US Total Market (25%)</w:t>
            </w:r>
          </w:p>
        </w:tc>
        <w:tc>
          <w:tcPr>
            <w:tcW w:type="dxa" w:w="2160"/>
          </w:tcPr>
          <w:p>
            <w:r>
              <w:t>$2,500</w:t>
            </w:r>
          </w:p>
        </w:tc>
        <w:tc>
          <w:tcPr>
            <w:tcW w:type="dxa" w:w="2160"/>
          </w:tcPr>
          <w:p>
            <w:r>
              <w:t>VTI (Total US Stock Market)</w:t>
            </w:r>
          </w:p>
        </w:tc>
        <w:tc>
          <w:tcPr>
            <w:tcW w:type="dxa" w:w="2160"/>
          </w:tcPr>
          <w:p>
            <w:r>
              <w:t>8-12%</w:t>
            </w:r>
          </w:p>
        </w:tc>
      </w:tr>
      <w:tr>
        <w:tc>
          <w:tcPr>
            <w:tcW w:type="dxa" w:w="2160"/>
          </w:tcPr>
          <w:p>
            <w:r>
              <w:t>US Growth/AI (10%)</w:t>
            </w:r>
          </w:p>
        </w:tc>
        <w:tc>
          <w:tcPr>
            <w:tcW w:type="dxa" w:w="2160"/>
          </w:tcPr>
          <w:p>
            <w:r>
              <w:t>$1,000</w:t>
            </w:r>
          </w:p>
        </w:tc>
        <w:tc>
          <w:tcPr>
            <w:tcW w:type="dxa" w:w="2160"/>
          </w:tcPr>
          <w:p>
            <w:r>
              <w:t>QQQ (Nasdaq 100)</w:t>
            </w:r>
          </w:p>
        </w:tc>
        <w:tc>
          <w:tcPr>
            <w:tcW w:type="dxa" w:w="2160"/>
          </w:tcPr>
          <w:p>
            <w:r>
              <w:t>10-15%</w:t>
            </w:r>
          </w:p>
        </w:tc>
      </w:tr>
      <w:tr>
        <w:tc>
          <w:tcPr>
            <w:tcW w:type="dxa" w:w="2160"/>
          </w:tcPr>
          <w:p>
            <w:r>
              <w:t>International Developed (12%)</w:t>
            </w:r>
          </w:p>
        </w:tc>
        <w:tc>
          <w:tcPr>
            <w:tcW w:type="dxa" w:w="2160"/>
          </w:tcPr>
          <w:p>
            <w:r>
              <w:t>$1,200</w:t>
            </w:r>
          </w:p>
        </w:tc>
        <w:tc>
          <w:tcPr>
            <w:tcW w:type="dxa" w:w="2160"/>
          </w:tcPr>
          <w:p>
            <w:r>
              <w:t>VEA (Developed Markets)</w:t>
            </w:r>
          </w:p>
        </w:tc>
        <w:tc>
          <w:tcPr>
            <w:tcW w:type="dxa" w:w="2160"/>
          </w:tcPr>
          <w:p>
            <w:r>
              <w:t>6-10%</w:t>
            </w:r>
          </w:p>
        </w:tc>
      </w:tr>
      <w:tr>
        <w:tc>
          <w:tcPr>
            <w:tcW w:type="dxa" w:w="2160"/>
          </w:tcPr>
          <w:p>
            <w:r>
              <w:t>Emerging Markets (5%)</w:t>
            </w:r>
          </w:p>
        </w:tc>
        <w:tc>
          <w:tcPr>
            <w:tcW w:type="dxa" w:w="2160"/>
          </w:tcPr>
          <w:p>
            <w:r>
              <w:t>$500</w:t>
            </w:r>
          </w:p>
        </w:tc>
        <w:tc>
          <w:tcPr>
            <w:tcW w:type="dxa" w:w="2160"/>
          </w:tcPr>
          <w:p>
            <w:r>
              <w:t>VWO (Emerging Markets)</w:t>
            </w:r>
          </w:p>
        </w:tc>
        <w:tc>
          <w:tcPr>
            <w:tcW w:type="dxa" w:w="2160"/>
          </w:tcPr>
          <w:p>
            <w:r>
              <w:t>5-12%</w:t>
            </w:r>
          </w:p>
        </w:tc>
      </w:tr>
      <w:tr>
        <w:tc>
          <w:tcPr>
            <w:tcW w:type="dxa" w:w="2160"/>
          </w:tcPr>
          <w:p>
            <w:r>
              <w:t>Small-Cap Value (8%)</w:t>
            </w:r>
          </w:p>
        </w:tc>
        <w:tc>
          <w:tcPr>
            <w:tcW w:type="dxa" w:w="2160"/>
          </w:tcPr>
          <w:p>
            <w:r>
              <w:t>$800</w:t>
            </w:r>
          </w:p>
        </w:tc>
        <w:tc>
          <w:tcPr>
            <w:tcW w:type="dxa" w:w="2160"/>
          </w:tcPr>
          <w:p>
            <w:r>
              <w:t>AVUV (Small-Cap Value)</w:t>
            </w:r>
          </w:p>
        </w:tc>
        <w:tc>
          <w:tcPr>
            <w:tcW w:type="dxa" w:w="2160"/>
          </w:tcPr>
          <w:p>
            <w:r>
              <w:t>5-14%</w:t>
            </w:r>
          </w:p>
        </w:tc>
      </w:tr>
      <w:tr>
        <w:tc>
          <w:tcPr>
            <w:tcW w:type="dxa" w:w="2160"/>
          </w:tcPr>
          <w:p>
            <w:r>
              <w:t>Bonds (12%)</w:t>
            </w:r>
          </w:p>
        </w:tc>
        <w:tc>
          <w:tcPr>
            <w:tcW w:type="dxa" w:w="2160"/>
          </w:tcPr>
          <w:p>
            <w:r>
              <w:t>$1,200</w:t>
            </w:r>
          </w:p>
        </w:tc>
        <w:tc>
          <w:tcPr>
            <w:tcW w:type="dxa" w:w="2160"/>
          </w:tcPr>
          <w:p>
            <w:r>
              <w:t>BND (Total Bond Market)</w:t>
            </w:r>
          </w:p>
        </w:tc>
        <w:tc>
          <w:tcPr>
            <w:tcW w:type="dxa" w:w="2160"/>
          </w:tcPr>
          <w:p>
            <w:r>
              <w:t>4.0-4.5%</w:t>
            </w:r>
          </w:p>
        </w:tc>
      </w:tr>
      <w:tr>
        <w:tc>
          <w:tcPr>
            <w:tcW w:type="dxa" w:w="2160"/>
          </w:tcPr>
          <w:p>
            <w:r>
              <w:t>TIPS (3%)</w:t>
            </w:r>
          </w:p>
        </w:tc>
        <w:tc>
          <w:tcPr>
            <w:tcW w:type="dxa" w:w="2160"/>
          </w:tcPr>
          <w:p>
            <w:r>
              <w:t>$300</w:t>
            </w:r>
          </w:p>
        </w:tc>
        <w:tc>
          <w:tcPr>
            <w:tcW w:type="dxa" w:w="2160"/>
          </w:tcPr>
          <w:p>
            <w:r>
              <w:t>SCHP (Inflation-Protected)</w:t>
            </w:r>
          </w:p>
        </w:tc>
        <w:tc>
          <w:tcPr>
            <w:tcW w:type="dxa" w:w="2160"/>
          </w:tcPr>
          <w:p>
            <w:r>
              <w:t>~4.5%</w:t>
            </w:r>
          </w:p>
        </w:tc>
      </w:tr>
      <w:tr>
        <w:tc>
          <w:tcPr>
            <w:tcW w:type="dxa" w:w="2160"/>
          </w:tcPr>
          <w:p>
            <w:r>
              <w:t>REITs (5%)</w:t>
            </w:r>
          </w:p>
        </w:tc>
        <w:tc>
          <w:tcPr>
            <w:tcW w:type="dxa" w:w="2160"/>
          </w:tcPr>
          <w:p>
            <w:r>
              <w:t>$500</w:t>
            </w:r>
          </w:p>
        </w:tc>
        <w:tc>
          <w:tcPr>
            <w:tcW w:type="dxa" w:w="2160"/>
          </w:tcPr>
          <w:p>
            <w:r>
              <w:t>VNQ (Real Estate ETF)</w:t>
            </w:r>
          </w:p>
        </w:tc>
        <w:tc>
          <w:tcPr>
            <w:tcW w:type="dxa" w:w="2160"/>
          </w:tcPr>
          <w:p>
            <w:r>
              <w:t>6-10%</w:t>
            </w:r>
          </w:p>
        </w:tc>
      </w:tr>
      <w:tr>
        <w:tc>
          <w:tcPr>
            <w:tcW w:type="dxa" w:w="2160"/>
          </w:tcPr>
          <w:p>
            <w:r>
              <w:t>Gold (5%)</w:t>
            </w:r>
          </w:p>
        </w:tc>
        <w:tc>
          <w:tcPr>
            <w:tcW w:type="dxa" w:w="2160"/>
          </w:tcPr>
          <w:p>
            <w:r>
              <w:t>$500</w:t>
            </w:r>
          </w:p>
        </w:tc>
        <w:tc>
          <w:tcPr>
            <w:tcW w:type="dxa" w:w="2160"/>
          </w:tcPr>
          <w:p>
            <w:r>
              <w:t>IAU (Gold ETF)</w:t>
            </w:r>
          </w:p>
        </w:tc>
        <w:tc>
          <w:tcPr>
            <w:tcW w:type="dxa" w:w="2160"/>
          </w:tcPr>
          <w:p>
            <w:r>
              <w:t>0-5%</w:t>
            </w:r>
          </w:p>
        </w:tc>
      </w:tr>
      <w:tr>
        <w:tc>
          <w:tcPr>
            <w:tcW w:type="dxa" w:w="2160"/>
          </w:tcPr>
          <w:p>
            <w:r>
              <w:t>Crypto (5%)</w:t>
            </w:r>
          </w:p>
        </w:tc>
        <w:tc>
          <w:tcPr>
            <w:tcW w:type="dxa" w:w="2160"/>
          </w:tcPr>
          <w:p>
            <w:r>
              <w:t>$500</w:t>
            </w:r>
          </w:p>
        </w:tc>
        <w:tc>
          <w:tcPr>
            <w:tcW w:type="dxa" w:w="2160"/>
          </w:tcPr>
          <w:p>
            <w:r>
              <w:t>IBIT (Bitcoin ETF)</w:t>
            </w:r>
          </w:p>
        </w:tc>
        <w:tc>
          <w:tcPr>
            <w:tcW w:type="dxa" w:w="2160"/>
          </w:tcPr>
          <w:p>
            <w:r>
              <w:t>-20% to +40%</w:t>
            </w:r>
          </w:p>
        </w:tc>
      </w:tr>
      <w:tr>
        <w:tc>
          <w:tcPr>
            <w:tcW w:type="dxa" w:w="2160"/>
          </w:tcPr>
          <w:p>
            <w:r>
              <w:t>TOTAL</w:t>
            </w:r>
          </w:p>
        </w:tc>
        <w:tc>
          <w:tcPr>
            <w:tcW w:type="dxa" w:w="2160"/>
          </w:tcPr>
          <w:p>
            <w:r>
              <w:t>$10,000</w:t>
            </w:r>
          </w:p>
        </w:tc>
        <w:tc>
          <w:tcPr>
            <w:tcW w:type="dxa" w:w="2160"/>
          </w:tcPr>
          <w:p>
            <w:r/>
          </w:p>
        </w:tc>
        <w:tc>
          <w:tcPr>
            <w:tcW w:type="dxa" w:w="2160"/>
          </w:tcPr>
          <w:p>
            <w:r>
              <w:t>6.8-9.5% blended</w:t>
            </w:r>
          </w:p>
        </w:tc>
      </w:tr>
    </w:tbl>
    <w:p>
      <w:r>
        <w:t>12-Month Projected Value: $10,680 - $10,950</w:t>
      </w:r>
    </w:p>
    <w:p>
      <w:pPr>
        <w:pStyle w:val="Heading2"/>
      </w:pPr>
      <w:r>
        <w:t>5.3 Aggressive Strategy (Maximum Growth)</w:t>
      </w:r>
    </w:p>
    <w:p>
      <w:r>
        <w:t>Best for: Ages 20-35, high income, 10+ year horizon, can stomach 30-40% drawdowns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Allocation</w:t>
            </w:r>
          </w:p>
        </w:tc>
        <w:tc>
          <w:tcPr>
            <w:tcW w:type="dxa" w:w="2160"/>
          </w:tcPr>
          <w:p>
            <w:r>
              <w:rPr>
                <w:b/>
              </w:rPr>
              <w:t>Amount</w:t>
            </w:r>
          </w:p>
        </w:tc>
        <w:tc>
          <w:tcPr>
            <w:tcW w:type="dxa" w:w="2160"/>
          </w:tcPr>
          <w:p>
            <w:r>
              <w:rPr>
                <w:b/>
              </w:rPr>
              <w:t>Vehicle</w:t>
            </w:r>
          </w:p>
        </w:tc>
        <w:tc>
          <w:tcPr>
            <w:tcW w:type="dxa" w:w="2160"/>
          </w:tcPr>
          <w:p>
            <w:r>
              <w:rPr>
                <w:b/>
              </w:rPr>
              <w:t>Expected Return</w:t>
            </w:r>
          </w:p>
        </w:tc>
      </w:tr>
      <w:tr>
        <w:tc>
          <w:tcPr>
            <w:tcW w:type="dxa" w:w="2160"/>
          </w:tcPr>
          <w:p>
            <w:r>
              <w:t>US Growth/Tech (30%)</w:t>
            </w:r>
          </w:p>
        </w:tc>
        <w:tc>
          <w:tcPr>
            <w:tcW w:type="dxa" w:w="2160"/>
          </w:tcPr>
          <w:p>
            <w:r>
              <w:t>$3,000</w:t>
            </w:r>
          </w:p>
        </w:tc>
        <w:tc>
          <w:tcPr>
            <w:tcW w:type="dxa" w:w="2160"/>
          </w:tcPr>
          <w:p>
            <w:r>
              <w:t>QQQ (Nasdaq 100)</w:t>
            </w:r>
          </w:p>
        </w:tc>
        <w:tc>
          <w:tcPr>
            <w:tcW w:type="dxa" w:w="2160"/>
          </w:tcPr>
          <w:p>
            <w:r>
              <w:t>10-15%</w:t>
            </w:r>
          </w:p>
        </w:tc>
      </w:tr>
      <w:tr>
        <w:tc>
          <w:tcPr>
            <w:tcW w:type="dxa" w:w="2160"/>
          </w:tcPr>
          <w:p>
            <w:r>
              <w:t>US Total Market (15%)</w:t>
            </w:r>
          </w:p>
        </w:tc>
        <w:tc>
          <w:tcPr>
            <w:tcW w:type="dxa" w:w="2160"/>
          </w:tcPr>
          <w:p>
            <w:r>
              <w:t>$1,500</w:t>
            </w:r>
          </w:p>
        </w:tc>
        <w:tc>
          <w:tcPr>
            <w:tcW w:type="dxa" w:w="2160"/>
          </w:tcPr>
          <w:p>
            <w:r>
              <w:t>VTI (Total Market)</w:t>
            </w:r>
          </w:p>
        </w:tc>
        <w:tc>
          <w:tcPr>
            <w:tcW w:type="dxa" w:w="2160"/>
          </w:tcPr>
          <w:p>
            <w:r>
              <w:t>8-12%</w:t>
            </w:r>
          </w:p>
        </w:tc>
      </w:tr>
      <w:tr>
        <w:tc>
          <w:tcPr>
            <w:tcW w:type="dxa" w:w="2160"/>
          </w:tcPr>
          <w:p>
            <w:r>
              <w:t>AI/Semiconductor (10%)</w:t>
            </w:r>
          </w:p>
        </w:tc>
        <w:tc>
          <w:tcPr>
            <w:tcW w:type="dxa" w:w="2160"/>
          </w:tcPr>
          <w:p>
            <w:r>
              <w:t>$1,000</w:t>
            </w:r>
          </w:p>
        </w:tc>
        <w:tc>
          <w:tcPr>
            <w:tcW w:type="dxa" w:w="2160"/>
          </w:tcPr>
          <w:p>
            <w:r>
              <w:t>SMH (Semiconductor ETF)</w:t>
            </w:r>
          </w:p>
        </w:tc>
        <w:tc>
          <w:tcPr>
            <w:tcW w:type="dxa" w:w="2160"/>
          </w:tcPr>
          <w:p>
            <w:r>
              <w:t>5-25%</w:t>
            </w:r>
          </w:p>
        </w:tc>
      </w:tr>
      <w:tr>
        <w:tc>
          <w:tcPr>
            <w:tcW w:type="dxa" w:w="2160"/>
          </w:tcPr>
          <w:p>
            <w:r>
              <w:t>Small-Cap Growth (8%)</w:t>
            </w:r>
          </w:p>
        </w:tc>
        <w:tc>
          <w:tcPr>
            <w:tcW w:type="dxa" w:w="2160"/>
          </w:tcPr>
          <w:p>
            <w:r>
              <w:t>$800</w:t>
            </w:r>
          </w:p>
        </w:tc>
        <w:tc>
          <w:tcPr>
            <w:tcW w:type="dxa" w:w="2160"/>
          </w:tcPr>
          <w:p>
            <w:r>
              <w:t>VBK (Small-Cap Growth)</w:t>
            </w:r>
          </w:p>
        </w:tc>
        <w:tc>
          <w:tcPr>
            <w:tcW w:type="dxa" w:w="2160"/>
          </w:tcPr>
          <w:p>
            <w:r>
              <w:t>5-15%</w:t>
            </w:r>
          </w:p>
        </w:tc>
      </w:tr>
      <w:tr>
        <w:tc>
          <w:tcPr>
            <w:tcW w:type="dxa" w:w="2160"/>
          </w:tcPr>
          <w:p>
            <w:r>
              <w:t>International (10%)</w:t>
            </w:r>
          </w:p>
        </w:tc>
        <w:tc>
          <w:tcPr>
            <w:tcW w:type="dxa" w:w="2160"/>
          </w:tcPr>
          <w:p>
            <w:r>
              <w:t>$1,000</w:t>
            </w:r>
          </w:p>
        </w:tc>
        <w:tc>
          <w:tcPr>
            <w:tcW w:type="dxa" w:w="2160"/>
          </w:tcPr>
          <w:p>
            <w:r>
              <w:t>VXUS (International)</w:t>
            </w:r>
          </w:p>
        </w:tc>
        <w:tc>
          <w:tcPr>
            <w:tcW w:type="dxa" w:w="2160"/>
          </w:tcPr>
          <w:p>
            <w:r>
              <w:t>6-10%</w:t>
            </w:r>
          </w:p>
        </w:tc>
      </w:tr>
      <w:tr>
        <w:tc>
          <w:tcPr>
            <w:tcW w:type="dxa" w:w="2160"/>
          </w:tcPr>
          <w:p>
            <w:r>
              <w:t>Emerging Markets (5%)</w:t>
            </w:r>
          </w:p>
        </w:tc>
        <w:tc>
          <w:tcPr>
            <w:tcW w:type="dxa" w:w="2160"/>
          </w:tcPr>
          <w:p>
            <w:r>
              <w:t>$500</w:t>
            </w:r>
          </w:p>
        </w:tc>
        <w:tc>
          <w:tcPr>
            <w:tcW w:type="dxa" w:w="2160"/>
          </w:tcPr>
          <w:p>
            <w:r>
              <w:t>VWO (Emerging Markets)</w:t>
            </w:r>
          </w:p>
        </w:tc>
        <w:tc>
          <w:tcPr>
            <w:tcW w:type="dxa" w:w="2160"/>
          </w:tcPr>
          <w:p>
            <w:r>
              <w:t>5-12%</w:t>
            </w:r>
          </w:p>
        </w:tc>
      </w:tr>
      <w:tr>
        <w:tc>
          <w:tcPr>
            <w:tcW w:type="dxa" w:w="2160"/>
          </w:tcPr>
          <w:p>
            <w:r>
              <w:t>Crypto (12%)</w:t>
            </w:r>
          </w:p>
        </w:tc>
        <w:tc>
          <w:tcPr>
            <w:tcW w:type="dxa" w:w="2160"/>
          </w:tcPr>
          <w:p>
            <w:r>
              <w:t>$1,200</w:t>
            </w:r>
          </w:p>
        </w:tc>
        <w:tc>
          <w:tcPr>
            <w:tcW w:type="dxa" w:w="2160"/>
          </w:tcPr>
          <w:p>
            <w:r>
              <w:t>IBIT $800 + ETHA $400</w:t>
            </w:r>
          </w:p>
        </w:tc>
        <w:tc>
          <w:tcPr>
            <w:tcW w:type="dxa" w:w="2160"/>
          </w:tcPr>
          <w:p>
            <w:r>
              <w:t>-30% to +60%</w:t>
            </w:r>
          </w:p>
        </w:tc>
      </w:tr>
      <w:tr>
        <w:tc>
          <w:tcPr>
            <w:tcW w:type="dxa" w:w="2160"/>
          </w:tcPr>
          <w:p>
            <w:r>
              <w:t>Gold (5%)</w:t>
            </w:r>
          </w:p>
        </w:tc>
        <w:tc>
          <w:tcPr>
            <w:tcW w:type="dxa" w:w="2160"/>
          </w:tcPr>
          <w:p>
            <w:r>
              <w:t>$500</w:t>
            </w:r>
          </w:p>
        </w:tc>
        <w:tc>
          <w:tcPr>
            <w:tcW w:type="dxa" w:w="2160"/>
          </w:tcPr>
          <w:p>
            <w:r>
              <w:t>IAU (Gold ETF)</w:t>
            </w:r>
          </w:p>
        </w:tc>
        <w:tc>
          <w:tcPr>
            <w:tcW w:type="dxa" w:w="2160"/>
          </w:tcPr>
          <w:p>
            <w:r>
              <w:t>0-5%</w:t>
            </w:r>
          </w:p>
        </w:tc>
      </w:tr>
      <w:tr>
        <w:tc>
          <w:tcPr>
            <w:tcW w:type="dxa" w:w="2160"/>
          </w:tcPr>
          <w:p>
            <w:r>
              <w:t>REITs (5%)</w:t>
            </w:r>
          </w:p>
        </w:tc>
        <w:tc>
          <w:tcPr>
            <w:tcW w:type="dxa" w:w="2160"/>
          </w:tcPr>
          <w:p>
            <w:r>
              <w:t>$500</w:t>
            </w:r>
          </w:p>
        </w:tc>
        <w:tc>
          <w:tcPr>
            <w:tcW w:type="dxa" w:w="2160"/>
          </w:tcPr>
          <w:p>
            <w:r>
              <w:t>VNQ (Real Estate ETF)</w:t>
            </w:r>
          </w:p>
        </w:tc>
        <w:tc>
          <w:tcPr>
            <w:tcW w:type="dxa" w:w="2160"/>
          </w:tcPr>
          <w:p>
            <w:r>
              <w:t>6-10%</w:t>
            </w:r>
          </w:p>
        </w:tc>
      </w:tr>
      <w:tr>
        <w:tc>
          <w:tcPr>
            <w:tcW w:type="dxa" w:w="2160"/>
          </w:tcPr>
          <w:p>
            <w:r>
              <w:t>TOTAL</w:t>
            </w:r>
          </w:p>
        </w:tc>
        <w:tc>
          <w:tcPr>
            <w:tcW w:type="dxa" w:w="2160"/>
          </w:tcPr>
          <w:p>
            <w:r>
              <w:t>$10,000</w:t>
            </w:r>
          </w:p>
        </w:tc>
        <w:tc>
          <w:tcPr>
            <w:tcW w:type="dxa" w:w="2160"/>
          </w:tcPr>
          <w:p>
            <w:r/>
          </w:p>
        </w:tc>
        <w:tc>
          <w:tcPr>
            <w:tcW w:type="dxa" w:w="2160"/>
          </w:tcPr>
          <w:p>
            <w:r>
              <w:t>8-16% blended (wide range)</w:t>
            </w:r>
          </w:p>
        </w:tc>
      </w:tr>
    </w:tbl>
    <w:p>
      <w:r>
        <w:t>12-Month Projected Value: $10,800 - $11,600 (could be $6,500-8,000 in severe downturn)</w:t>
      </w:r>
    </w:p>
    <w:p>
      <w:pPr>
        <w:pStyle w:val="Heading2"/>
      </w:pPr>
      <w:r>
        <w:t>5.4 $10,000 Plan — Projected Returns Comparison</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Strategy</w:t>
            </w:r>
          </w:p>
        </w:tc>
        <w:tc>
          <w:tcPr>
            <w:tcW w:type="dxa" w:w="1728"/>
          </w:tcPr>
          <w:p>
            <w:r>
              <w:rPr>
                <w:b/>
              </w:rPr>
              <w:t>Best Case (12mo)</w:t>
            </w:r>
          </w:p>
        </w:tc>
        <w:tc>
          <w:tcPr>
            <w:tcW w:type="dxa" w:w="1728"/>
          </w:tcPr>
          <w:p>
            <w:r>
              <w:rPr>
                <w:b/>
              </w:rPr>
              <w:t>Expected (12mo)</w:t>
            </w:r>
          </w:p>
        </w:tc>
        <w:tc>
          <w:tcPr>
            <w:tcW w:type="dxa" w:w="1728"/>
          </w:tcPr>
          <w:p>
            <w:r>
              <w:rPr>
                <w:b/>
              </w:rPr>
              <w:t>Worst Case (12mo)</w:t>
            </w:r>
          </w:p>
        </w:tc>
        <w:tc>
          <w:tcPr>
            <w:tcW w:type="dxa" w:w="1728"/>
          </w:tcPr>
          <w:p>
            <w:r>
              <w:rPr>
                <w:b/>
              </w:rPr>
              <w:t>Max Drawdown</w:t>
            </w:r>
          </w:p>
        </w:tc>
      </w:tr>
      <w:tr>
        <w:tc>
          <w:tcPr>
            <w:tcW w:type="dxa" w:w="1728"/>
          </w:tcPr>
          <w:p>
            <w:r>
              <w:t>Conservative</w:t>
            </w:r>
          </w:p>
        </w:tc>
        <w:tc>
          <w:tcPr>
            <w:tcW w:type="dxa" w:w="1728"/>
          </w:tcPr>
          <w:p>
            <w:r>
              <w:t>$10,700</w:t>
            </w:r>
          </w:p>
        </w:tc>
        <w:tc>
          <w:tcPr>
            <w:tcW w:type="dxa" w:w="1728"/>
          </w:tcPr>
          <w:p>
            <w:r>
              <w:t>$10,510</w:t>
            </w:r>
          </w:p>
        </w:tc>
        <w:tc>
          <w:tcPr>
            <w:tcW w:type="dxa" w:w="1728"/>
          </w:tcPr>
          <w:p>
            <w:r>
              <w:t>$9,700</w:t>
            </w:r>
          </w:p>
        </w:tc>
        <w:tc>
          <w:tcPr>
            <w:tcW w:type="dxa" w:w="1728"/>
          </w:tcPr>
          <w:p>
            <w:r>
              <w:t>-5%</w:t>
            </w:r>
          </w:p>
        </w:tc>
      </w:tr>
      <w:tr>
        <w:tc>
          <w:tcPr>
            <w:tcW w:type="dxa" w:w="1728"/>
          </w:tcPr>
          <w:p>
            <w:r>
              <w:t>Balanced</w:t>
            </w:r>
          </w:p>
        </w:tc>
        <w:tc>
          <w:tcPr>
            <w:tcW w:type="dxa" w:w="1728"/>
          </w:tcPr>
          <w:p>
            <w:r>
              <w:t>$11,200</w:t>
            </w:r>
          </w:p>
        </w:tc>
        <w:tc>
          <w:tcPr>
            <w:tcW w:type="dxa" w:w="1728"/>
          </w:tcPr>
          <w:p>
            <w:r>
              <w:t>$10,800</w:t>
            </w:r>
          </w:p>
        </w:tc>
        <w:tc>
          <w:tcPr>
            <w:tcW w:type="dxa" w:w="1728"/>
          </w:tcPr>
          <w:p>
            <w:r>
              <w:t>$8,800</w:t>
            </w:r>
          </w:p>
        </w:tc>
        <w:tc>
          <w:tcPr>
            <w:tcW w:type="dxa" w:w="1728"/>
          </w:tcPr>
          <w:p>
            <w:r>
              <w:t>-15%</w:t>
            </w:r>
          </w:p>
        </w:tc>
      </w:tr>
      <w:tr>
        <w:tc>
          <w:tcPr>
            <w:tcW w:type="dxa" w:w="1728"/>
          </w:tcPr>
          <w:p>
            <w:r>
              <w:t>Aggressive</w:t>
            </w:r>
          </w:p>
        </w:tc>
        <w:tc>
          <w:tcPr>
            <w:tcW w:type="dxa" w:w="1728"/>
          </w:tcPr>
          <w:p>
            <w:r>
              <w:t>$12,000</w:t>
            </w:r>
          </w:p>
        </w:tc>
        <w:tc>
          <w:tcPr>
            <w:tcW w:type="dxa" w:w="1728"/>
          </w:tcPr>
          <w:p>
            <w:r>
              <w:t>$11,100</w:t>
            </w:r>
          </w:p>
        </w:tc>
        <w:tc>
          <w:tcPr>
            <w:tcW w:type="dxa" w:w="1728"/>
          </w:tcPr>
          <w:p>
            <w:r>
              <w:t>$6,500</w:t>
            </w:r>
          </w:p>
        </w:tc>
        <w:tc>
          <w:tcPr>
            <w:tcW w:type="dxa" w:w="1728"/>
          </w:tcPr>
          <w:p>
            <w:r>
              <w:t>-35%</w:t>
            </w:r>
          </w:p>
        </w:tc>
      </w:tr>
    </w:tbl>
    <w:p>
      <w:pPr>
        <w:pStyle w:val="Heading2"/>
      </w:pPr>
      <w:r>
        <w:t>5-Year Compound Growth Projection ($10,000 initial, no additions)</w:t>
      </w:r>
    </w:p>
    <w:tbl>
      <w:tblPr>
        <w:tblStyle w:val="LightShading-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Strategy</w:t>
            </w:r>
          </w:p>
        </w:tc>
        <w:tc>
          <w:tcPr>
            <w:tcW w:type="dxa" w:w="1440"/>
          </w:tcPr>
          <w:p>
            <w:r>
              <w:rPr>
                <w:b/>
              </w:rPr>
              <w:t>Year 1</w:t>
            </w:r>
          </w:p>
        </w:tc>
        <w:tc>
          <w:tcPr>
            <w:tcW w:type="dxa" w:w="1440"/>
          </w:tcPr>
          <w:p>
            <w:r>
              <w:rPr>
                <w:b/>
              </w:rPr>
              <w:t>Year 2</w:t>
            </w:r>
          </w:p>
        </w:tc>
        <w:tc>
          <w:tcPr>
            <w:tcW w:type="dxa" w:w="1440"/>
          </w:tcPr>
          <w:p>
            <w:r>
              <w:rPr>
                <w:b/>
              </w:rPr>
              <w:t>Year 3</w:t>
            </w:r>
          </w:p>
        </w:tc>
        <w:tc>
          <w:tcPr>
            <w:tcW w:type="dxa" w:w="1440"/>
          </w:tcPr>
          <w:p>
            <w:r>
              <w:rPr>
                <w:b/>
              </w:rPr>
              <w:t>Year 4</w:t>
            </w:r>
          </w:p>
        </w:tc>
        <w:tc>
          <w:tcPr>
            <w:tcW w:type="dxa" w:w="1440"/>
          </w:tcPr>
          <w:p>
            <w:r>
              <w:rPr>
                <w:b/>
              </w:rPr>
              <w:t>Year 5</w:t>
            </w:r>
          </w:p>
        </w:tc>
      </w:tr>
      <w:tr>
        <w:tc>
          <w:tcPr>
            <w:tcW w:type="dxa" w:w="1440"/>
          </w:tcPr>
          <w:p>
            <w:r>
              <w:t>Conservative (5%)</w:t>
            </w:r>
          </w:p>
        </w:tc>
        <w:tc>
          <w:tcPr>
            <w:tcW w:type="dxa" w:w="1440"/>
          </w:tcPr>
          <w:p>
            <w:r>
              <w:t>$10,500</w:t>
            </w:r>
          </w:p>
        </w:tc>
        <w:tc>
          <w:tcPr>
            <w:tcW w:type="dxa" w:w="1440"/>
          </w:tcPr>
          <w:p>
            <w:r>
              <w:t>$11,025</w:t>
            </w:r>
          </w:p>
        </w:tc>
        <w:tc>
          <w:tcPr>
            <w:tcW w:type="dxa" w:w="1440"/>
          </w:tcPr>
          <w:p>
            <w:r>
              <w:t>$11,576</w:t>
            </w:r>
          </w:p>
        </w:tc>
        <w:tc>
          <w:tcPr>
            <w:tcW w:type="dxa" w:w="1440"/>
          </w:tcPr>
          <w:p>
            <w:r>
              <w:t>$12,155</w:t>
            </w:r>
          </w:p>
        </w:tc>
        <w:tc>
          <w:tcPr>
            <w:tcW w:type="dxa" w:w="1440"/>
          </w:tcPr>
          <w:p>
            <w:r>
              <w:t>$12,763</w:t>
            </w:r>
          </w:p>
        </w:tc>
      </w:tr>
      <w:tr>
        <w:tc>
          <w:tcPr>
            <w:tcW w:type="dxa" w:w="1440"/>
          </w:tcPr>
          <w:p>
            <w:r>
              <w:t>Balanced (8%)</w:t>
            </w:r>
          </w:p>
        </w:tc>
        <w:tc>
          <w:tcPr>
            <w:tcW w:type="dxa" w:w="1440"/>
          </w:tcPr>
          <w:p>
            <w:r>
              <w:t>$10,800</w:t>
            </w:r>
          </w:p>
        </w:tc>
        <w:tc>
          <w:tcPr>
            <w:tcW w:type="dxa" w:w="1440"/>
          </w:tcPr>
          <w:p>
            <w:r>
              <w:t>$11,664</w:t>
            </w:r>
          </w:p>
        </w:tc>
        <w:tc>
          <w:tcPr>
            <w:tcW w:type="dxa" w:w="1440"/>
          </w:tcPr>
          <w:p>
            <w:r>
              <w:t>$12,597</w:t>
            </w:r>
          </w:p>
        </w:tc>
        <w:tc>
          <w:tcPr>
            <w:tcW w:type="dxa" w:w="1440"/>
          </w:tcPr>
          <w:p>
            <w:r>
              <w:t>$13,605</w:t>
            </w:r>
          </w:p>
        </w:tc>
        <w:tc>
          <w:tcPr>
            <w:tcW w:type="dxa" w:w="1440"/>
          </w:tcPr>
          <w:p>
            <w:r>
              <w:t>$14,693</w:t>
            </w:r>
          </w:p>
        </w:tc>
      </w:tr>
      <w:tr>
        <w:tc>
          <w:tcPr>
            <w:tcW w:type="dxa" w:w="1440"/>
          </w:tcPr>
          <w:p>
            <w:r>
              <w:t>Aggressive (12%)</w:t>
            </w:r>
          </w:p>
        </w:tc>
        <w:tc>
          <w:tcPr>
            <w:tcW w:type="dxa" w:w="1440"/>
          </w:tcPr>
          <w:p>
            <w:r>
              <w:t>$11,200</w:t>
            </w:r>
          </w:p>
        </w:tc>
        <w:tc>
          <w:tcPr>
            <w:tcW w:type="dxa" w:w="1440"/>
          </w:tcPr>
          <w:p>
            <w:r>
              <w:t>$12,544</w:t>
            </w:r>
          </w:p>
        </w:tc>
        <w:tc>
          <w:tcPr>
            <w:tcW w:type="dxa" w:w="1440"/>
          </w:tcPr>
          <w:p>
            <w:r>
              <w:t>$14,049</w:t>
            </w:r>
          </w:p>
        </w:tc>
        <w:tc>
          <w:tcPr>
            <w:tcW w:type="dxa" w:w="1440"/>
          </w:tcPr>
          <w:p>
            <w:r>
              <w:t>$15,735</w:t>
            </w:r>
          </w:p>
        </w:tc>
        <w:tc>
          <w:tcPr>
            <w:tcW w:type="dxa" w:w="1440"/>
          </w:tcPr>
          <w:p>
            <w:r>
              <w:t>$17,623</w:t>
            </w:r>
          </w:p>
        </w:tc>
      </w:tr>
    </w:tbl>
    <w:p>
      <w:pPr>
        <w:pStyle w:val="Heading2"/>
      </w:pPr>
      <w:r>
        <w:t>5-Year Growth WITH $500/month Contributions</w:t>
      </w:r>
    </w:p>
    <w:tbl>
      <w:tblPr>
        <w:tblStyle w:val="LightShading-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Strategy</w:t>
            </w:r>
          </w:p>
        </w:tc>
        <w:tc>
          <w:tcPr>
            <w:tcW w:type="dxa" w:w="1440"/>
          </w:tcPr>
          <w:p>
            <w:r>
              <w:rPr>
                <w:b/>
              </w:rPr>
              <w:t>Year 1</w:t>
            </w:r>
          </w:p>
        </w:tc>
        <w:tc>
          <w:tcPr>
            <w:tcW w:type="dxa" w:w="1440"/>
          </w:tcPr>
          <w:p>
            <w:r>
              <w:rPr>
                <w:b/>
              </w:rPr>
              <w:t>Year 2</w:t>
            </w:r>
          </w:p>
        </w:tc>
        <w:tc>
          <w:tcPr>
            <w:tcW w:type="dxa" w:w="1440"/>
          </w:tcPr>
          <w:p>
            <w:r>
              <w:rPr>
                <w:b/>
              </w:rPr>
              <w:t>Year 3</w:t>
            </w:r>
          </w:p>
        </w:tc>
        <w:tc>
          <w:tcPr>
            <w:tcW w:type="dxa" w:w="1440"/>
          </w:tcPr>
          <w:p>
            <w:r>
              <w:rPr>
                <w:b/>
              </w:rPr>
              <w:t>Year 5</w:t>
            </w:r>
          </w:p>
        </w:tc>
        <w:tc>
          <w:tcPr>
            <w:tcW w:type="dxa" w:w="1440"/>
          </w:tcPr>
          <w:p>
            <w:r>
              <w:rPr>
                <w:b/>
              </w:rPr>
              <w:t>Total Invested</w:t>
            </w:r>
          </w:p>
        </w:tc>
      </w:tr>
      <w:tr>
        <w:tc>
          <w:tcPr>
            <w:tcW w:type="dxa" w:w="1440"/>
          </w:tcPr>
          <w:p>
            <w:r>
              <w:t>Conservative (5%)</w:t>
            </w:r>
          </w:p>
        </w:tc>
        <w:tc>
          <w:tcPr>
            <w:tcW w:type="dxa" w:w="1440"/>
          </w:tcPr>
          <w:p>
            <w:r>
              <w:t>$16,808</w:t>
            </w:r>
          </w:p>
        </w:tc>
        <w:tc>
          <w:tcPr>
            <w:tcW w:type="dxa" w:w="1440"/>
          </w:tcPr>
          <w:p>
            <w:r>
              <w:t>$23,956</w:t>
            </w:r>
          </w:p>
        </w:tc>
        <w:tc>
          <w:tcPr>
            <w:tcW w:type="dxa" w:w="1440"/>
          </w:tcPr>
          <w:p>
            <w:r>
              <w:t>$31,462</w:t>
            </w:r>
          </w:p>
        </w:tc>
        <w:tc>
          <w:tcPr>
            <w:tcW w:type="dxa" w:w="1440"/>
          </w:tcPr>
          <w:p>
            <w:r>
              <w:t>$47,590</w:t>
            </w:r>
          </w:p>
        </w:tc>
        <w:tc>
          <w:tcPr>
            <w:tcW w:type="dxa" w:w="1440"/>
          </w:tcPr>
          <w:p>
            <w:r>
              <w:t>$40,000</w:t>
            </w:r>
          </w:p>
        </w:tc>
      </w:tr>
      <w:tr>
        <w:tc>
          <w:tcPr>
            <w:tcW w:type="dxa" w:w="1440"/>
          </w:tcPr>
          <w:p>
            <w:r>
              <w:t>Balanced (8%)</w:t>
            </w:r>
          </w:p>
        </w:tc>
        <w:tc>
          <w:tcPr>
            <w:tcW w:type="dxa" w:w="1440"/>
          </w:tcPr>
          <w:p>
            <w:r>
              <w:t>$17,168</w:t>
            </w:r>
          </w:p>
        </w:tc>
        <w:tc>
          <w:tcPr>
            <w:tcW w:type="dxa" w:w="1440"/>
          </w:tcPr>
          <w:p>
            <w:r>
              <w:t>$25,021</w:t>
            </w:r>
          </w:p>
        </w:tc>
        <w:tc>
          <w:tcPr>
            <w:tcW w:type="dxa" w:w="1440"/>
          </w:tcPr>
          <w:p>
            <w:r>
              <w:t>$33,623</w:t>
            </w:r>
          </w:p>
        </w:tc>
        <w:tc>
          <w:tcPr>
            <w:tcW w:type="dxa" w:w="1440"/>
          </w:tcPr>
          <w:p>
            <w:r>
              <w:t>$53,927</w:t>
            </w:r>
          </w:p>
        </w:tc>
        <w:tc>
          <w:tcPr>
            <w:tcW w:type="dxa" w:w="1440"/>
          </w:tcPr>
          <w:p>
            <w:r>
              <w:t>$40,000</w:t>
            </w:r>
          </w:p>
        </w:tc>
      </w:tr>
      <w:tr>
        <w:tc>
          <w:tcPr>
            <w:tcW w:type="dxa" w:w="1440"/>
          </w:tcPr>
          <w:p>
            <w:r>
              <w:t>Aggressive (12%)</w:t>
            </w:r>
          </w:p>
        </w:tc>
        <w:tc>
          <w:tcPr>
            <w:tcW w:type="dxa" w:w="1440"/>
          </w:tcPr>
          <w:p>
            <w:r>
              <w:t>$17,648</w:t>
            </w:r>
          </w:p>
        </w:tc>
        <w:tc>
          <w:tcPr>
            <w:tcW w:type="dxa" w:w="1440"/>
          </w:tcPr>
          <w:p>
            <w:r>
              <w:t>$26,606</w:t>
            </w:r>
          </w:p>
        </w:tc>
        <w:tc>
          <w:tcPr>
            <w:tcW w:type="dxa" w:w="1440"/>
          </w:tcPr>
          <w:p>
            <w:r>
              <w:t>$37,238</w:t>
            </w:r>
          </w:p>
        </w:tc>
        <w:tc>
          <w:tcPr>
            <w:tcW w:type="dxa" w:w="1440"/>
          </w:tcPr>
          <w:p>
            <w:r>
              <w:t>$65,329</w:t>
            </w:r>
          </w:p>
        </w:tc>
        <w:tc>
          <w:tcPr>
            <w:tcW w:type="dxa" w:w="1440"/>
          </w:tcPr>
          <w:p>
            <w:r>
              <w:t>$40,000</w:t>
            </w:r>
          </w:p>
        </w:tc>
      </w:tr>
    </w:tbl>
    <w:p>
      <w:r>
        <w:t>The power of consistent contributions: Even at a modest 8% return, $10,000 + $500/month grows to $53,927 in 5 years — a $13,927 profit on $40,000 invested.</w:t>
      </w:r>
    </w:p>
    <w:p>
      <w:pPr>
        <w:pStyle w:val="Heading2"/>
      </w:pPr>
      <w:r>
        <w:t>$10,000 — Specific Action Steps</w:t>
      </w:r>
    </w:p>
    <w:p>
      <w:pPr>
        <w:pStyle w:val="ListNumber"/>
      </w:pPr>
      <w:r>
        <w:t>Open Roth IRA (max $7,000 in 2026) + Taxable Brokerage for the remaining $3,000</w:t>
      </w:r>
    </w:p>
    <w:p>
      <w:pPr>
        <w:pStyle w:val="ListNumber"/>
      </w:pPr>
      <w:r>
        <w:t>Deploy $6,000 (60%) immediately as lump sum across your chosen allocation</w:t>
      </w:r>
    </w:p>
    <w:p>
      <w:pPr>
        <w:pStyle w:val="ListNumber"/>
      </w:pPr>
      <w:r>
        <w:t>Deploy remaining $4,000 over 8-12 weeks via weekly purchases (dollar-cost averaging)</w:t>
      </w:r>
    </w:p>
    <w:p>
      <w:pPr>
        <w:pStyle w:val="ListNumber"/>
      </w:pPr>
      <w:r>
        <w:t>Set up automatic $500/month contributions (split between Roth IRA and taxable)</w:t>
      </w:r>
    </w:p>
    <w:p>
      <w:pPr>
        <w:pStyle w:val="ListNumber"/>
      </w:pPr>
      <w:r>
        <w:t>Place tax-inefficient holdings (bonds, REITs) inside Roth IRA for maximum tax benefit</w:t>
      </w:r>
    </w:p>
    <w:p>
      <w:pPr>
        <w:pStyle w:val="ListNumber"/>
      </w:pPr>
      <w:r>
        <w:t>Place growth stocks and index funds in taxable account (more tax-efficient)</w:t>
      </w:r>
    </w:p>
    <w:p>
      <w:pPr>
        <w:pStyle w:val="ListNumber"/>
      </w:pPr>
      <w:r>
        <w:t>Rebalance quarterly; tax-loss harvest in taxable account when opportunities arise</w:t>
      </w:r>
    </w:p>
    <w:p>
      <w:r>
        <w:br w:type="page"/>
      </w:r>
    </w:p>
    <w:p>
      <w:pPr>
        <w:pStyle w:val="Heading1"/>
      </w:pPr>
      <w:r>
        <w:t>Part 6: Fund Management Rules</w:t>
      </w:r>
    </w:p>
    <w:p>
      <w:pPr>
        <w:pStyle w:val="Heading2"/>
      </w:pPr>
      <w:r>
        <w:t>6.1 Rebalancing Schedule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Frequency</w:t>
            </w:r>
          </w:p>
        </w:tc>
        <w:tc>
          <w:tcPr>
            <w:tcW w:type="dxa" w:w="2880"/>
          </w:tcPr>
          <w:p>
            <w:r>
              <w:rPr>
                <w:b/>
              </w:rPr>
              <w:t>Action</w:t>
            </w:r>
          </w:p>
        </w:tc>
        <w:tc>
          <w:tcPr>
            <w:tcW w:type="dxa" w:w="2880"/>
          </w:tcPr>
          <w:p>
            <w:r>
              <w:rPr>
                <w:b/>
              </w:rPr>
              <w:t>Threshold</w:t>
            </w:r>
          </w:p>
        </w:tc>
      </w:tr>
      <w:tr>
        <w:tc>
          <w:tcPr>
            <w:tcW w:type="dxa" w:w="2880"/>
          </w:tcPr>
          <w:p>
            <w:r>
              <w:t>Monthly</w:t>
            </w:r>
          </w:p>
        </w:tc>
        <w:tc>
          <w:tcPr>
            <w:tcW w:type="dxa" w:w="2880"/>
          </w:tcPr>
          <w:p>
            <w:r>
              <w:t>Review portfolio value and allocation percentages</w:t>
            </w:r>
          </w:p>
        </w:tc>
        <w:tc>
          <w:tcPr>
            <w:tcW w:type="dxa" w:w="2880"/>
          </w:tcPr>
          <w:p>
            <w:r>
              <w:t>No action unless 10%+ drift</w:t>
            </w:r>
          </w:p>
        </w:tc>
      </w:tr>
      <w:tr>
        <w:tc>
          <w:tcPr>
            <w:tcW w:type="dxa" w:w="2880"/>
          </w:tcPr>
          <w:p>
            <w:r>
              <w:t>Quarterly</w:t>
            </w:r>
          </w:p>
        </w:tc>
        <w:tc>
          <w:tcPr>
            <w:tcW w:type="dxa" w:w="2880"/>
          </w:tcPr>
          <w:p>
            <w:r>
              <w:t>Rebalance if any asset class drifts 5%+ from target</w:t>
            </w:r>
          </w:p>
        </w:tc>
        <w:tc>
          <w:tcPr>
            <w:tcW w:type="dxa" w:w="2880"/>
          </w:tcPr>
          <w:p>
            <w:r>
              <w:t>Sell winners, buy losers to rebalance</w:t>
            </w:r>
          </w:p>
        </w:tc>
      </w:tr>
      <w:tr>
        <w:tc>
          <w:tcPr>
            <w:tcW w:type="dxa" w:w="2880"/>
          </w:tcPr>
          <w:p>
            <w:r>
              <w:t>Annually</w:t>
            </w:r>
          </w:p>
        </w:tc>
        <w:tc>
          <w:tcPr>
            <w:tcW w:type="dxa" w:w="2880"/>
          </w:tcPr>
          <w:p>
            <w:r>
              <w:t>Full portfolio review — reassess strategy</w:t>
            </w:r>
          </w:p>
        </w:tc>
        <w:tc>
          <w:tcPr>
            <w:tcW w:type="dxa" w:w="2880"/>
          </w:tcPr>
          <w:p>
            <w:r>
              <w:t>Adjust allocations based on life changes</w:t>
            </w:r>
          </w:p>
        </w:tc>
      </w:tr>
      <w:tr>
        <w:tc>
          <w:tcPr>
            <w:tcW w:type="dxa" w:w="2880"/>
          </w:tcPr>
          <w:p>
            <w:r>
              <w:t>Market Crash (&gt;15%)</w:t>
            </w:r>
          </w:p>
        </w:tc>
        <w:tc>
          <w:tcPr>
            <w:tcW w:type="dxa" w:w="2880"/>
          </w:tcPr>
          <w:p>
            <w:r>
              <w:t>DO NOT PANIC SELL — consider buying more</w:t>
            </w:r>
          </w:p>
        </w:tc>
        <w:tc>
          <w:tcPr>
            <w:tcW w:type="dxa" w:w="2880"/>
          </w:tcPr>
          <w:p>
            <w:r>
              <w:t>Deploy cash reserves into equities</w:t>
            </w:r>
          </w:p>
        </w:tc>
      </w:tr>
    </w:tbl>
    <w:p>
      <w:pPr>
        <w:pStyle w:val="Heading2"/>
      </w:pPr>
      <w:r>
        <w:t>6.2 Stop-Loss &amp; Take-Profit Rules</w:t>
      </w:r>
    </w:p>
    <w:p>
      <w:r>
        <w:t>For individual positions (NOT for index funds — never stop-loss an index fund):</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Rule</w:t>
            </w:r>
          </w:p>
        </w:tc>
        <w:tc>
          <w:tcPr>
            <w:tcW w:type="dxa" w:w="2880"/>
          </w:tcPr>
          <w:p>
            <w:r>
              <w:rPr>
                <w:b/>
              </w:rPr>
              <w:t>Action</w:t>
            </w:r>
          </w:p>
        </w:tc>
        <w:tc>
          <w:tcPr>
            <w:tcW w:type="dxa" w:w="2880"/>
          </w:tcPr>
          <w:p>
            <w:r>
              <w:rPr>
                <w:b/>
              </w:rPr>
              <w:t>Rationale</w:t>
            </w:r>
          </w:p>
        </w:tc>
      </w:tr>
      <w:tr>
        <w:tc>
          <w:tcPr>
            <w:tcW w:type="dxa" w:w="2880"/>
          </w:tcPr>
          <w:p>
            <w:r>
              <w:t>Individual Stock -20%</w:t>
            </w:r>
          </w:p>
        </w:tc>
        <w:tc>
          <w:tcPr>
            <w:tcW w:type="dxa" w:w="2880"/>
          </w:tcPr>
          <w:p>
            <w:r>
              <w:t>Review thesis — sell if fundamentals changed</w:t>
            </w:r>
          </w:p>
        </w:tc>
        <w:tc>
          <w:tcPr>
            <w:tcW w:type="dxa" w:w="2880"/>
          </w:tcPr>
          <w:p>
            <w:r>
              <w:t>Limit single-stock losses</w:t>
            </w:r>
          </w:p>
        </w:tc>
      </w:tr>
      <w:tr>
        <w:tc>
          <w:tcPr>
            <w:tcW w:type="dxa" w:w="2880"/>
          </w:tcPr>
          <w:p>
            <w:r>
              <w:t>Crypto -30%</w:t>
            </w:r>
          </w:p>
        </w:tc>
        <w:tc>
          <w:tcPr>
            <w:tcW w:type="dxa" w:w="2880"/>
          </w:tcPr>
          <w:p>
            <w:r>
              <w:t>Review position size — reduce if &gt;10% of portfolio</w:t>
            </w:r>
          </w:p>
        </w:tc>
        <w:tc>
          <w:tcPr>
            <w:tcW w:type="dxa" w:w="2880"/>
          </w:tcPr>
          <w:p>
            <w:r>
              <w:t>Crypto can drop 50-80%</w:t>
            </w:r>
          </w:p>
        </w:tc>
      </w:tr>
      <w:tr>
        <w:tc>
          <w:tcPr>
            <w:tcW w:type="dxa" w:w="2880"/>
          </w:tcPr>
          <w:p>
            <w:r>
              <w:t>Any position +100%</w:t>
            </w:r>
          </w:p>
        </w:tc>
        <w:tc>
          <w:tcPr>
            <w:tcW w:type="dxa" w:w="2880"/>
          </w:tcPr>
          <w:p>
            <w:r>
              <w:t>Consider selling 25-50% to lock in gains</w:t>
            </w:r>
          </w:p>
        </w:tc>
        <w:tc>
          <w:tcPr>
            <w:tcW w:type="dxa" w:w="2880"/>
          </w:tcPr>
          <w:p>
            <w:r>
              <w:t>Let winners run but secure profits</w:t>
            </w:r>
          </w:p>
        </w:tc>
      </w:tr>
      <w:tr>
        <w:tc>
          <w:tcPr>
            <w:tcW w:type="dxa" w:w="2880"/>
          </w:tcPr>
          <w:p>
            <w:r>
              <w:t>Portfolio -15%</w:t>
            </w:r>
          </w:p>
        </w:tc>
        <w:tc>
          <w:tcPr>
            <w:tcW w:type="dxa" w:w="2880"/>
          </w:tcPr>
          <w:p>
            <w:r>
              <w:t>Review allocation — ensure bonds/cash are intact</w:t>
            </w:r>
          </w:p>
        </w:tc>
        <w:tc>
          <w:tcPr>
            <w:tcW w:type="dxa" w:w="2880"/>
          </w:tcPr>
          <w:p>
            <w:r>
              <w:t>Stay disciplined in downturns</w:t>
            </w:r>
          </w:p>
        </w:tc>
      </w:tr>
    </w:tbl>
    <w:p>
      <w:r>
        <w:t>CRITICAL RULE: NEVER sell index funds (VOO, VTI, BND) due to short-term drops. These are buy-and-hold forever investments. Every major market crash has recovered and gone to new highs.</w:t>
      </w:r>
    </w:p>
    <w:p>
      <w:pPr>
        <w:pStyle w:val="Heading2"/>
      </w:pPr>
      <w:r>
        <w:t>6.3 Dollar-Cost Averaging (DCA) Strategy</w:t>
      </w:r>
    </w:p>
    <w:p>
      <w:r>
        <w:t>Instead of investing all money at once, spread purchases over time to reduce timing risk:</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Investment Amount</w:t>
            </w:r>
          </w:p>
        </w:tc>
        <w:tc>
          <w:tcPr>
            <w:tcW w:type="dxa" w:w="2160"/>
          </w:tcPr>
          <w:p>
            <w:r>
              <w:rPr>
                <w:b/>
              </w:rPr>
              <w:t>DCA Schedule</w:t>
            </w:r>
          </w:p>
        </w:tc>
        <w:tc>
          <w:tcPr>
            <w:tcW w:type="dxa" w:w="2160"/>
          </w:tcPr>
          <w:p>
            <w:r>
              <w:rPr>
                <w:b/>
              </w:rPr>
              <w:t>Weekly Purchase</w:t>
            </w:r>
          </w:p>
        </w:tc>
        <w:tc>
          <w:tcPr>
            <w:tcW w:type="dxa" w:w="2160"/>
          </w:tcPr>
          <w:p>
            <w:r>
              <w:rPr>
                <w:b/>
              </w:rPr>
              <w:t>Duration</w:t>
            </w:r>
          </w:p>
        </w:tc>
      </w:tr>
      <w:tr>
        <w:tc>
          <w:tcPr>
            <w:tcW w:type="dxa" w:w="2160"/>
          </w:tcPr>
          <w:p>
            <w:r>
              <w:t>$1,000</w:t>
            </w:r>
          </w:p>
        </w:tc>
        <w:tc>
          <w:tcPr>
            <w:tcW w:type="dxa" w:w="2160"/>
          </w:tcPr>
          <w:p>
            <w:r>
              <w:t>Invest 50% now, DCA rest over 4 weeks</w:t>
            </w:r>
          </w:p>
        </w:tc>
        <w:tc>
          <w:tcPr>
            <w:tcW w:type="dxa" w:w="2160"/>
          </w:tcPr>
          <w:p>
            <w:r>
              <w:t>$125/week</w:t>
            </w:r>
          </w:p>
        </w:tc>
        <w:tc>
          <w:tcPr>
            <w:tcW w:type="dxa" w:w="2160"/>
          </w:tcPr>
          <w:p>
            <w:r>
              <w:t>4 weeks</w:t>
            </w:r>
          </w:p>
        </w:tc>
      </w:tr>
      <w:tr>
        <w:tc>
          <w:tcPr>
            <w:tcW w:type="dxa" w:w="2160"/>
          </w:tcPr>
          <w:p>
            <w:r>
              <w:t>$5,000</w:t>
            </w:r>
          </w:p>
        </w:tc>
        <w:tc>
          <w:tcPr>
            <w:tcW w:type="dxa" w:w="2160"/>
          </w:tcPr>
          <w:p>
            <w:r>
              <w:t>Invest 50% now, DCA rest over 8 weeks</w:t>
            </w:r>
          </w:p>
        </w:tc>
        <w:tc>
          <w:tcPr>
            <w:tcW w:type="dxa" w:w="2160"/>
          </w:tcPr>
          <w:p>
            <w:r>
              <w:t>$312/week</w:t>
            </w:r>
          </w:p>
        </w:tc>
        <w:tc>
          <w:tcPr>
            <w:tcW w:type="dxa" w:w="2160"/>
          </w:tcPr>
          <w:p>
            <w:r>
              <w:t>8 weeks</w:t>
            </w:r>
          </w:p>
        </w:tc>
      </w:tr>
      <w:tr>
        <w:tc>
          <w:tcPr>
            <w:tcW w:type="dxa" w:w="2160"/>
          </w:tcPr>
          <w:p>
            <w:r>
              <w:t>$10,000</w:t>
            </w:r>
          </w:p>
        </w:tc>
        <w:tc>
          <w:tcPr>
            <w:tcW w:type="dxa" w:w="2160"/>
          </w:tcPr>
          <w:p>
            <w:r>
              <w:t>Invest 60% now, DCA rest over 10 weeks</w:t>
            </w:r>
          </w:p>
        </w:tc>
        <w:tc>
          <w:tcPr>
            <w:tcW w:type="dxa" w:w="2160"/>
          </w:tcPr>
          <w:p>
            <w:r>
              <w:t>$400/week</w:t>
            </w:r>
          </w:p>
        </w:tc>
        <w:tc>
          <w:tcPr>
            <w:tcW w:type="dxa" w:w="2160"/>
          </w:tcPr>
          <w:p>
            <w:r>
              <w:t>10 weeks</w:t>
            </w:r>
          </w:p>
        </w:tc>
      </w:tr>
    </w:tbl>
    <w:p>
      <w:r>
        <w:t>Note: Studies show lump-sum investing beats DCA about 66% of the time. However, DCA provides psychological comfort and protection against bad timing. In the current environment with elevated valuations, a hybrid approach (partial lump sum + DCA) is prudent.</w:t>
      </w:r>
    </w:p>
    <w:p>
      <w:pPr>
        <w:pStyle w:val="Heading2"/>
      </w:pPr>
      <w:r>
        <w:t>6.4 Emergency Fund Priority</w:t>
      </w:r>
    </w:p>
    <w:p>
      <w:r>
        <w:t>BEFORE investing, ensure you have:</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Priority Level</w:t>
            </w:r>
          </w:p>
        </w:tc>
        <w:tc>
          <w:tcPr>
            <w:tcW w:type="dxa" w:w="2160"/>
          </w:tcPr>
          <w:p>
            <w:r>
              <w:rPr>
                <w:b/>
              </w:rPr>
              <w:t>Amount</w:t>
            </w:r>
          </w:p>
        </w:tc>
        <w:tc>
          <w:tcPr>
            <w:tcW w:type="dxa" w:w="2160"/>
          </w:tcPr>
          <w:p>
            <w:r>
              <w:rPr>
                <w:b/>
              </w:rPr>
              <w:t>Where to Keep It</w:t>
            </w:r>
          </w:p>
        </w:tc>
        <w:tc>
          <w:tcPr>
            <w:tcW w:type="dxa" w:w="2160"/>
          </w:tcPr>
          <w:p>
            <w:r>
              <w:rPr>
                <w:b/>
              </w:rPr>
              <w:t>Timeline</w:t>
            </w:r>
          </w:p>
        </w:tc>
      </w:tr>
      <w:tr>
        <w:tc>
          <w:tcPr>
            <w:tcW w:type="dxa" w:w="2160"/>
          </w:tcPr>
          <w:p>
            <w:r>
              <w:t>Absolute Minimum</w:t>
            </w:r>
          </w:p>
        </w:tc>
        <w:tc>
          <w:tcPr>
            <w:tcW w:type="dxa" w:w="2160"/>
          </w:tcPr>
          <w:p>
            <w:r>
              <w:t>1 month expenses ($2,000-3,000)</w:t>
            </w:r>
          </w:p>
        </w:tc>
        <w:tc>
          <w:tcPr>
            <w:tcW w:type="dxa" w:w="2160"/>
          </w:tcPr>
          <w:p>
            <w:r>
              <w:t>HYSA</w:t>
            </w:r>
          </w:p>
        </w:tc>
        <w:tc>
          <w:tcPr>
            <w:tcW w:type="dxa" w:w="2160"/>
          </w:tcPr>
          <w:p>
            <w:r>
              <w:t>Build FIRST before investing</w:t>
            </w:r>
          </w:p>
        </w:tc>
      </w:tr>
      <w:tr>
        <w:tc>
          <w:tcPr>
            <w:tcW w:type="dxa" w:w="2160"/>
          </w:tcPr>
          <w:p>
            <w:r>
              <w:t>Standard</w:t>
            </w:r>
          </w:p>
        </w:tc>
        <w:tc>
          <w:tcPr>
            <w:tcW w:type="dxa" w:w="2160"/>
          </w:tcPr>
          <w:p>
            <w:r>
              <w:t>3 months expenses ($6,000-10,000)</w:t>
            </w:r>
          </w:p>
        </w:tc>
        <w:tc>
          <w:tcPr>
            <w:tcW w:type="dxa" w:w="2160"/>
          </w:tcPr>
          <w:p>
            <w:r>
              <w:t>HYSA</w:t>
            </w:r>
          </w:p>
        </w:tc>
        <w:tc>
          <w:tcPr>
            <w:tcW w:type="dxa" w:w="2160"/>
          </w:tcPr>
          <w:p>
            <w:r>
              <w:t>Build within 6 months</w:t>
            </w:r>
          </w:p>
        </w:tc>
      </w:tr>
      <w:tr>
        <w:tc>
          <w:tcPr>
            <w:tcW w:type="dxa" w:w="2160"/>
          </w:tcPr>
          <w:p>
            <w:r>
              <w:t>Recommended</w:t>
            </w:r>
          </w:p>
        </w:tc>
        <w:tc>
          <w:tcPr>
            <w:tcW w:type="dxa" w:w="2160"/>
          </w:tcPr>
          <w:p>
            <w:r>
              <w:t>6 months expenses ($12,000-20,000)</w:t>
            </w:r>
          </w:p>
        </w:tc>
        <w:tc>
          <w:tcPr>
            <w:tcW w:type="dxa" w:w="2160"/>
          </w:tcPr>
          <w:p>
            <w:r>
              <w:t>HYSA + short-term bonds</w:t>
            </w:r>
          </w:p>
        </w:tc>
        <w:tc>
          <w:tcPr>
            <w:tcW w:type="dxa" w:w="2160"/>
          </w:tcPr>
          <w:p>
            <w:r>
              <w:t>Build within 12 months</w:t>
            </w:r>
          </w:p>
        </w:tc>
      </w:tr>
      <w:tr>
        <w:tc>
          <w:tcPr>
            <w:tcW w:type="dxa" w:w="2160"/>
          </w:tcPr>
          <w:p>
            <w:r>
              <w:t>Conservative</w:t>
            </w:r>
          </w:p>
        </w:tc>
        <w:tc>
          <w:tcPr>
            <w:tcW w:type="dxa" w:w="2160"/>
          </w:tcPr>
          <w:p>
            <w:r>
              <w:t>12 months expenses</w:t>
            </w:r>
          </w:p>
        </w:tc>
        <w:tc>
          <w:tcPr>
            <w:tcW w:type="dxa" w:w="2160"/>
          </w:tcPr>
          <w:p>
            <w:r>
              <w:t>HYSA + CDs + Treasuries</w:t>
            </w:r>
          </w:p>
        </w:tc>
        <w:tc>
          <w:tcPr>
            <w:tcW w:type="dxa" w:w="2160"/>
          </w:tcPr>
          <w:p>
            <w:r>
              <w:t>For self-employed / variable income</w:t>
            </w:r>
          </w:p>
        </w:tc>
      </w:tr>
    </w:tbl>
    <w:p>
      <w:pPr>
        <w:pStyle w:val="Heading2"/>
      </w:pPr>
      <w:r>
        <w:t>6.5 Tax Optimization</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Account Type</w:t>
            </w:r>
          </w:p>
        </w:tc>
        <w:tc>
          <w:tcPr>
            <w:tcW w:type="dxa" w:w="2880"/>
          </w:tcPr>
          <w:p>
            <w:r>
              <w:rPr>
                <w:b/>
              </w:rPr>
              <w:t>What to Hold</w:t>
            </w:r>
          </w:p>
        </w:tc>
        <w:tc>
          <w:tcPr>
            <w:tcW w:type="dxa" w:w="2880"/>
          </w:tcPr>
          <w:p>
            <w:r>
              <w:rPr>
                <w:b/>
              </w:rPr>
              <w:t>Why</w:t>
            </w:r>
          </w:p>
        </w:tc>
      </w:tr>
      <w:tr>
        <w:tc>
          <w:tcPr>
            <w:tcW w:type="dxa" w:w="2880"/>
          </w:tcPr>
          <w:p>
            <w:r>
              <w:t>Roth IRA</w:t>
            </w:r>
          </w:p>
        </w:tc>
        <w:tc>
          <w:tcPr>
            <w:tcW w:type="dxa" w:w="2880"/>
          </w:tcPr>
          <w:p>
            <w:r>
              <w:t>Growth stocks, REITs, bonds</w:t>
            </w:r>
          </w:p>
        </w:tc>
        <w:tc>
          <w:tcPr>
            <w:tcW w:type="dxa" w:w="2880"/>
          </w:tcPr>
          <w:p>
            <w:r>
              <w:t>Tax-free growth — put highest-growth assets here</w:t>
            </w:r>
          </w:p>
        </w:tc>
      </w:tr>
      <w:tr>
        <w:tc>
          <w:tcPr>
            <w:tcW w:type="dxa" w:w="2880"/>
          </w:tcPr>
          <w:p>
            <w:r>
              <w:t>Traditional IRA/401k</w:t>
            </w:r>
          </w:p>
        </w:tc>
        <w:tc>
          <w:tcPr>
            <w:tcW w:type="dxa" w:w="2880"/>
          </w:tcPr>
          <w:p>
            <w:r>
              <w:t>Bonds, dividend stocks, REITs</w:t>
            </w:r>
          </w:p>
        </w:tc>
        <w:tc>
          <w:tcPr>
            <w:tcW w:type="dxa" w:w="2880"/>
          </w:tcPr>
          <w:p>
            <w:r>
              <w:t>Tax-deferred — put income-generating assets here</w:t>
            </w:r>
          </w:p>
        </w:tc>
      </w:tr>
      <w:tr>
        <w:tc>
          <w:tcPr>
            <w:tcW w:type="dxa" w:w="2880"/>
          </w:tcPr>
          <w:p>
            <w:r>
              <w:t>Taxable Brokerage</w:t>
            </w:r>
          </w:p>
        </w:tc>
        <w:tc>
          <w:tcPr>
            <w:tcW w:type="dxa" w:w="2880"/>
          </w:tcPr>
          <w:p>
            <w:r>
              <w:t>Index funds (VOO, VTI), ETFs</w:t>
            </w:r>
          </w:p>
        </w:tc>
        <w:tc>
          <w:tcPr>
            <w:tcW w:type="dxa" w:w="2880"/>
          </w:tcPr>
          <w:p>
            <w:r>
              <w:t>Tax-efficient — low turnover, qualified dividends</w:t>
            </w:r>
          </w:p>
        </w:tc>
      </w:tr>
      <w:tr>
        <w:tc>
          <w:tcPr>
            <w:tcW w:type="dxa" w:w="2880"/>
          </w:tcPr>
          <w:p>
            <w:r>
              <w:t>HYSA</w:t>
            </w:r>
          </w:p>
        </w:tc>
        <w:tc>
          <w:tcPr>
            <w:tcW w:type="dxa" w:w="2880"/>
          </w:tcPr>
          <w:p>
            <w:r>
              <w:t>Emergency fund only</w:t>
            </w:r>
          </w:p>
        </w:tc>
        <w:tc>
          <w:tcPr>
            <w:tcW w:type="dxa" w:w="2880"/>
          </w:tcPr>
          <w:p>
            <w:r>
              <w:t>Interest taxed as income — minimize excess cash</w:t>
            </w:r>
          </w:p>
        </w:tc>
      </w:tr>
    </w:tbl>
    <w:p>
      <w:r>
        <w:t>Tax-Loss Harvesting: In taxable accounts, sell losing positions to offset gains. Replace with similar (not identical) fund. Example: Sell VTI at a loss, buy ITOT. Save up to $3,000/year in tax deductions.</w:t>
      </w:r>
    </w:p>
    <w:p>
      <w:r>
        <w:br w:type="page"/>
      </w:r>
    </w:p>
    <w:p>
      <w:pPr>
        <w:pStyle w:val="Heading1"/>
      </w:pPr>
      <w:r>
        <w:t>Part 7: Risk Management Framework</w:t>
      </w:r>
    </w:p>
    <w:p>
      <w:pPr>
        <w:pStyle w:val="Heading2"/>
      </w:pPr>
      <w:r>
        <w:t>The 5 Rules of Risk Management</w:t>
      </w:r>
    </w:p>
    <w:p>
      <w:pPr>
        <w:pStyle w:val="Heading3"/>
      </w:pPr>
      <w:r>
        <w:t>Rule 1: Never Invest Money You Need Within 12 Months</w:t>
      </w:r>
    </w:p>
    <w:p>
      <w:r>
        <w:t>Keep short-term money in HYSA or short-term bonds. The stock market can drop 20-30% in any given year.</w:t>
      </w:r>
    </w:p>
    <w:p>
      <w:pPr>
        <w:pStyle w:val="Heading3"/>
      </w:pPr>
      <w:r>
        <w:t>Rule 2: Diversify Across Asset Classes</w:t>
      </w:r>
    </w:p>
    <w:p>
      <w:r>
        <w:t>No single asset should exceed 30% of your portfolio. No single stock should exceed 5%.</w:t>
      </w:r>
    </w:p>
    <w:p>
      <w:pPr>
        <w:pStyle w:val="Heading3"/>
      </w:pPr>
      <w:r>
        <w:t>Rule 3: Understand Your Risk Tolerance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If this drop would make you sell...</w:t>
            </w:r>
          </w:p>
        </w:tc>
        <w:tc>
          <w:tcPr>
            <w:tcW w:type="dxa" w:w="2880"/>
          </w:tcPr>
          <w:p>
            <w:r>
              <w:rPr>
                <w:b/>
              </w:rPr>
              <w:t>Your risk tolerance is...</w:t>
            </w:r>
          </w:p>
        </w:tc>
        <w:tc>
          <w:tcPr>
            <w:tcW w:type="dxa" w:w="2880"/>
          </w:tcPr>
          <w:p>
            <w:r>
              <w:rPr>
                <w:b/>
              </w:rPr>
              <w:t>Max stock allocation</w:t>
            </w:r>
          </w:p>
        </w:tc>
      </w:tr>
      <w:tr>
        <w:tc>
          <w:tcPr>
            <w:tcW w:type="dxa" w:w="2880"/>
          </w:tcPr>
          <w:p>
            <w:r>
              <w:t>-5%</w:t>
            </w:r>
          </w:p>
        </w:tc>
        <w:tc>
          <w:tcPr>
            <w:tcW w:type="dxa" w:w="2880"/>
          </w:tcPr>
          <w:p>
            <w:r>
              <w:t>Very Low</w:t>
            </w:r>
          </w:p>
        </w:tc>
        <w:tc>
          <w:tcPr>
            <w:tcW w:type="dxa" w:w="2880"/>
          </w:tcPr>
          <w:p>
            <w:r>
              <w:t>20-30%</w:t>
            </w:r>
          </w:p>
        </w:tc>
      </w:tr>
      <w:tr>
        <w:tc>
          <w:tcPr>
            <w:tcW w:type="dxa" w:w="2880"/>
          </w:tcPr>
          <w:p>
            <w:r>
              <w:t>-10%</w:t>
            </w:r>
          </w:p>
        </w:tc>
        <w:tc>
          <w:tcPr>
            <w:tcW w:type="dxa" w:w="2880"/>
          </w:tcPr>
          <w:p>
            <w:r>
              <w:t>Low</w:t>
            </w:r>
          </w:p>
        </w:tc>
        <w:tc>
          <w:tcPr>
            <w:tcW w:type="dxa" w:w="2880"/>
          </w:tcPr>
          <w:p>
            <w:r>
              <w:t>30-40%</w:t>
            </w:r>
          </w:p>
        </w:tc>
      </w:tr>
      <w:tr>
        <w:tc>
          <w:tcPr>
            <w:tcW w:type="dxa" w:w="2880"/>
          </w:tcPr>
          <w:p>
            <w:r>
              <w:t>-15%</w:t>
            </w:r>
          </w:p>
        </w:tc>
        <w:tc>
          <w:tcPr>
            <w:tcW w:type="dxa" w:w="2880"/>
          </w:tcPr>
          <w:p>
            <w:r>
              <w:t>Moderate</w:t>
            </w:r>
          </w:p>
        </w:tc>
        <w:tc>
          <w:tcPr>
            <w:tcW w:type="dxa" w:w="2880"/>
          </w:tcPr>
          <w:p>
            <w:r>
              <w:t>50-60%</w:t>
            </w:r>
          </w:p>
        </w:tc>
      </w:tr>
      <w:tr>
        <w:tc>
          <w:tcPr>
            <w:tcW w:type="dxa" w:w="2880"/>
          </w:tcPr>
          <w:p>
            <w:r>
              <w:t>-25%</w:t>
            </w:r>
          </w:p>
        </w:tc>
        <w:tc>
          <w:tcPr>
            <w:tcW w:type="dxa" w:w="2880"/>
          </w:tcPr>
          <w:p>
            <w:r>
              <w:t>High</w:t>
            </w:r>
          </w:p>
        </w:tc>
        <w:tc>
          <w:tcPr>
            <w:tcW w:type="dxa" w:w="2880"/>
          </w:tcPr>
          <w:p>
            <w:r>
              <w:t>70-80%</w:t>
            </w:r>
          </w:p>
        </w:tc>
      </w:tr>
      <w:tr>
        <w:tc>
          <w:tcPr>
            <w:tcW w:type="dxa" w:w="2880"/>
          </w:tcPr>
          <w:p>
            <w:r>
              <w:t>-35%+</w:t>
            </w:r>
          </w:p>
        </w:tc>
        <w:tc>
          <w:tcPr>
            <w:tcW w:type="dxa" w:w="2880"/>
          </w:tcPr>
          <w:p>
            <w:r>
              <w:t>Very High</w:t>
            </w:r>
          </w:p>
        </w:tc>
        <w:tc>
          <w:tcPr>
            <w:tcW w:type="dxa" w:w="2880"/>
          </w:tcPr>
          <w:p>
            <w:r>
              <w:t>80-95%</w:t>
            </w:r>
          </w:p>
        </w:tc>
      </w:tr>
    </w:tbl>
    <w:p>
      <w:pPr>
        <w:pStyle w:val="Heading3"/>
      </w:pPr>
      <w:r>
        <w:t>Rule 4: Age-Based Allocation Guideline</w:t>
      </w:r>
    </w:p>
    <w:p>
      <w:r>
        <w:t>A common rule of thumb: Stock allocation = 120 minus your age</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Age</w:t>
            </w:r>
          </w:p>
        </w:tc>
        <w:tc>
          <w:tcPr>
            <w:tcW w:type="dxa" w:w="2160"/>
          </w:tcPr>
          <w:p>
            <w:r>
              <w:rPr>
                <w:b/>
              </w:rPr>
              <w:t>Stocks</w:t>
            </w:r>
          </w:p>
        </w:tc>
        <w:tc>
          <w:tcPr>
            <w:tcW w:type="dxa" w:w="2160"/>
          </w:tcPr>
          <w:p>
            <w:r>
              <w:rPr>
                <w:b/>
              </w:rPr>
              <w:t>Bonds</w:t>
            </w:r>
          </w:p>
        </w:tc>
        <w:tc>
          <w:tcPr>
            <w:tcW w:type="dxa" w:w="2160"/>
          </w:tcPr>
          <w:p>
            <w:r>
              <w:rPr>
                <w:b/>
              </w:rPr>
              <w:t>Cash/Other</w:t>
            </w:r>
          </w:p>
        </w:tc>
      </w:tr>
      <w:tr>
        <w:tc>
          <w:tcPr>
            <w:tcW w:type="dxa" w:w="2160"/>
          </w:tcPr>
          <w:p>
            <w:r>
              <w:t>25</w:t>
            </w:r>
          </w:p>
        </w:tc>
        <w:tc>
          <w:tcPr>
            <w:tcW w:type="dxa" w:w="2160"/>
          </w:tcPr>
          <w:p>
            <w:r>
              <w:t>90-95%</w:t>
            </w:r>
          </w:p>
        </w:tc>
        <w:tc>
          <w:tcPr>
            <w:tcW w:type="dxa" w:w="2160"/>
          </w:tcPr>
          <w:p>
            <w:r>
              <w:t>0-5%</w:t>
            </w:r>
          </w:p>
        </w:tc>
        <w:tc>
          <w:tcPr>
            <w:tcW w:type="dxa" w:w="2160"/>
          </w:tcPr>
          <w:p>
            <w:r>
              <w:t>5%</w:t>
            </w:r>
          </w:p>
        </w:tc>
      </w:tr>
      <w:tr>
        <w:tc>
          <w:tcPr>
            <w:tcW w:type="dxa" w:w="2160"/>
          </w:tcPr>
          <w:p>
            <w:r>
              <w:t>35</w:t>
            </w:r>
          </w:p>
        </w:tc>
        <w:tc>
          <w:tcPr>
            <w:tcW w:type="dxa" w:w="2160"/>
          </w:tcPr>
          <w:p>
            <w:r>
              <w:t>80-85%</w:t>
            </w:r>
          </w:p>
        </w:tc>
        <w:tc>
          <w:tcPr>
            <w:tcW w:type="dxa" w:w="2160"/>
          </w:tcPr>
          <w:p>
            <w:r>
              <w:t>10-15%</w:t>
            </w:r>
          </w:p>
        </w:tc>
        <w:tc>
          <w:tcPr>
            <w:tcW w:type="dxa" w:w="2160"/>
          </w:tcPr>
          <w:p>
            <w:r>
              <w:t>5%</w:t>
            </w:r>
          </w:p>
        </w:tc>
      </w:tr>
      <w:tr>
        <w:tc>
          <w:tcPr>
            <w:tcW w:type="dxa" w:w="2160"/>
          </w:tcPr>
          <w:p>
            <w:r>
              <w:t>45</w:t>
            </w:r>
          </w:p>
        </w:tc>
        <w:tc>
          <w:tcPr>
            <w:tcW w:type="dxa" w:w="2160"/>
          </w:tcPr>
          <w:p>
            <w:r>
              <w:t>70-75%</w:t>
            </w:r>
          </w:p>
        </w:tc>
        <w:tc>
          <w:tcPr>
            <w:tcW w:type="dxa" w:w="2160"/>
          </w:tcPr>
          <w:p>
            <w:r>
              <w:t>20-25%</w:t>
            </w:r>
          </w:p>
        </w:tc>
        <w:tc>
          <w:tcPr>
            <w:tcW w:type="dxa" w:w="2160"/>
          </w:tcPr>
          <w:p>
            <w:r>
              <w:t>5%</w:t>
            </w:r>
          </w:p>
        </w:tc>
      </w:tr>
      <w:tr>
        <w:tc>
          <w:tcPr>
            <w:tcW w:type="dxa" w:w="2160"/>
          </w:tcPr>
          <w:p>
            <w:r>
              <w:t>55</w:t>
            </w:r>
          </w:p>
        </w:tc>
        <w:tc>
          <w:tcPr>
            <w:tcW w:type="dxa" w:w="2160"/>
          </w:tcPr>
          <w:p>
            <w:r>
              <w:t>60-65%</w:t>
            </w:r>
          </w:p>
        </w:tc>
        <w:tc>
          <w:tcPr>
            <w:tcW w:type="dxa" w:w="2160"/>
          </w:tcPr>
          <w:p>
            <w:r>
              <w:t>25-30%</w:t>
            </w:r>
          </w:p>
        </w:tc>
        <w:tc>
          <w:tcPr>
            <w:tcW w:type="dxa" w:w="2160"/>
          </w:tcPr>
          <w:p>
            <w:r>
              <w:t>10%</w:t>
            </w:r>
          </w:p>
        </w:tc>
      </w:tr>
      <w:tr>
        <w:tc>
          <w:tcPr>
            <w:tcW w:type="dxa" w:w="2160"/>
          </w:tcPr>
          <w:p>
            <w:r>
              <w:t>65</w:t>
            </w:r>
          </w:p>
        </w:tc>
        <w:tc>
          <w:tcPr>
            <w:tcW w:type="dxa" w:w="2160"/>
          </w:tcPr>
          <w:p>
            <w:r>
              <w:t>50-55%</w:t>
            </w:r>
          </w:p>
        </w:tc>
        <w:tc>
          <w:tcPr>
            <w:tcW w:type="dxa" w:w="2160"/>
          </w:tcPr>
          <w:p>
            <w:r>
              <w:t>35-40%</w:t>
            </w:r>
          </w:p>
        </w:tc>
        <w:tc>
          <w:tcPr>
            <w:tcW w:type="dxa" w:w="2160"/>
          </w:tcPr>
          <w:p>
            <w:r>
              <w:t>10%</w:t>
            </w:r>
          </w:p>
        </w:tc>
      </w:tr>
    </w:tbl>
    <w:p>
      <w:pPr>
        <w:pStyle w:val="Heading3"/>
      </w:pPr>
      <w:r>
        <w:t>Rule 5: Rebalance, Don't Panic</w:t>
      </w:r>
    </w:p>
    <w:p>
      <w:r>
        <w:t>When markets drop, your stock allocation decreases and bonds increase. Rebalancing means selling bonds (which held steady) and buying stocks (which are now cheaper). This forces you to buy low and sell high — the opposite of what emotions tell you to do.</w:t>
      </w:r>
    </w:p>
    <w:p>
      <w:pPr>
        <w:pStyle w:val="Heading2"/>
      </w:pPr>
      <w:r>
        <w:t>Current Risk Assessment (February 2026)</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Risk Factor</w:t>
            </w:r>
          </w:p>
        </w:tc>
        <w:tc>
          <w:tcPr>
            <w:tcW w:type="dxa" w:w="1728"/>
          </w:tcPr>
          <w:p>
            <w:r>
              <w:rPr>
                <w:b/>
              </w:rPr>
              <w:t>Level</w:t>
            </w:r>
          </w:p>
        </w:tc>
        <w:tc>
          <w:tcPr>
            <w:tcW w:type="dxa" w:w="1728"/>
          </w:tcPr>
          <w:p>
            <w:r>
              <w:rPr>
                <w:b/>
              </w:rPr>
              <w:t>Probability</w:t>
            </w:r>
          </w:p>
        </w:tc>
        <w:tc>
          <w:tcPr>
            <w:tcW w:type="dxa" w:w="1728"/>
          </w:tcPr>
          <w:p>
            <w:r>
              <w:rPr>
                <w:b/>
              </w:rPr>
              <w:t>Impact</w:t>
            </w:r>
          </w:p>
        </w:tc>
        <w:tc>
          <w:tcPr>
            <w:tcW w:type="dxa" w:w="1728"/>
          </w:tcPr>
          <w:p>
            <w:r>
              <w:rPr>
                <w:b/>
              </w:rPr>
              <w:t>Mitigation</w:t>
            </w:r>
          </w:p>
        </w:tc>
      </w:tr>
      <w:tr>
        <w:tc>
          <w:tcPr>
            <w:tcW w:type="dxa" w:w="1728"/>
          </w:tcPr>
          <w:p>
            <w:r>
              <w:t>Market Correction (10-20%)</w:t>
            </w:r>
          </w:p>
        </w:tc>
        <w:tc>
          <w:tcPr>
            <w:tcW w:type="dxa" w:w="1728"/>
          </w:tcPr>
          <w:p>
            <w:r>
              <w:t>Moderate</w:t>
            </w:r>
          </w:p>
        </w:tc>
        <w:tc>
          <w:tcPr>
            <w:tcW w:type="dxa" w:w="1728"/>
          </w:tcPr>
          <w:p>
            <w:r>
              <w:t>35-40%</w:t>
            </w:r>
          </w:p>
        </w:tc>
        <w:tc>
          <w:tcPr>
            <w:tcW w:type="dxa" w:w="1728"/>
          </w:tcPr>
          <w:p>
            <w:r>
              <w:t>Moderate</w:t>
            </w:r>
          </w:p>
        </w:tc>
        <w:tc>
          <w:tcPr>
            <w:tcW w:type="dxa" w:w="1728"/>
          </w:tcPr>
          <w:p>
            <w:r>
              <w:t>Hold bonds/cash, DCA into dips</w:t>
            </w:r>
          </w:p>
        </w:tc>
      </w:tr>
      <w:tr>
        <w:tc>
          <w:tcPr>
            <w:tcW w:type="dxa" w:w="1728"/>
          </w:tcPr>
          <w:p>
            <w:r>
              <w:t>Recession</w:t>
            </w:r>
          </w:p>
        </w:tc>
        <w:tc>
          <w:tcPr>
            <w:tcW w:type="dxa" w:w="1728"/>
          </w:tcPr>
          <w:p>
            <w:r>
              <w:t>Low-Moderate</w:t>
            </w:r>
          </w:p>
        </w:tc>
        <w:tc>
          <w:tcPr>
            <w:tcW w:type="dxa" w:w="1728"/>
          </w:tcPr>
          <w:p>
            <w:r>
              <w:t>20-25%</w:t>
            </w:r>
          </w:p>
        </w:tc>
        <w:tc>
          <w:tcPr>
            <w:tcW w:type="dxa" w:w="1728"/>
          </w:tcPr>
          <w:p>
            <w:r>
              <w:t>High</w:t>
            </w:r>
          </w:p>
        </w:tc>
        <w:tc>
          <w:tcPr>
            <w:tcW w:type="dxa" w:w="1728"/>
          </w:tcPr>
          <w:p>
            <w:r>
              <w:t>Emergency fund, bond allocation</w:t>
            </w:r>
          </w:p>
        </w:tc>
      </w:tr>
      <w:tr>
        <w:tc>
          <w:tcPr>
            <w:tcW w:type="dxa" w:w="1728"/>
          </w:tcPr>
          <w:p>
            <w:r>
              <w:t>Inflation Spike (&gt;4%)</w:t>
            </w:r>
          </w:p>
        </w:tc>
        <w:tc>
          <w:tcPr>
            <w:tcW w:type="dxa" w:w="1728"/>
          </w:tcPr>
          <w:p>
            <w:r>
              <w:t>Low</w:t>
            </w:r>
          </w:p>
        </w:tc>
        <w:tc>
          <w:tcPr>
            <w:tcW w:type="dxa" w:w="1728"/>
          </w:tcPr>
          <w:p>
            <w:r>
              <w:t>15-20%</w:t>
            </w:r>
          </w:p>
        </w:tc>
        <w:tc>
          <w:tcPr>
            <w:tcW w:type="dxa" w:w="1728"/>
          </w:tcPr>
          <w:p>
            <w:r>
              <w:t>Moderate</w:t>
            </w:r>
          </w:p>
        </w:tc>
        <w:tc>
          <w:tcPr>
            <w:tcW w:type="dxa" w:w="1728"/>
          </w:tcPr>
          <w:p>
            <w:r>
              <w:t>TIPS, gold, commodities</w:t>
            </w:r>
          </w:p>
        </w:tc>
      </w:tr>
      <w:tr>
        <w:tc>
          <w:tcPr>
            <w:tcW w:type="dxa" w:w="1728"/>
          </w:tcPr>
          <w:p>
            <w:r>
              <w:t>Tariff Escalation</w:t>
            </w:r>
          </w:p>
        </w:tc>
        <w:tc>
          <w:tcPr>
            <w:tcW w:type="dxa" w:w="1728"/>
          </w:tcPr>
          <w:p>
            <w:r>
              <w:t>Moderate</w:t>
            </w:r>
          </w:p>
        </w:tc>
        <w:tc>
          <w:tcPr>
            <w:tcW w:type="dxa" w:w="1728"/>
          </w:tcPr>
          <w:p>
            <w:r>
              <w:t>30-40%</w:t>
            </w:r>
          </w:p>
        </w:tc>
        <w:tc>
          <w:tcPr>
            <w:tcW w:type="dxa" w:w="1728"/>
          </w:tcPr>
          <w:p>
            <w:r>
              <w:t>Moderate</w:t>
            </w:r>
          </w:p>
        </w:tc>
        <w:tc>
          <w:tcPr>
            <w:tcW w:type="dxa" w:w="1728"/>
          </w:tcPr>
          <w:p>
            <w:r>
              <w:t>International diversification</w:t>
            </w:r>
          </w:p>
        </w:tc>
      </w:tr>
      <w:tr>
        <w:tc>
          <w:tcPr>
            <w:tcW w:type="dxa" w:w="1728"/>
          </w:tcPr>
          <w:p>
            <w:r>
              <w:t>Fed Policy Error</w:t>
            </w:r>
          </w:p>
        </w:tc>
        <w:tc>
          <w:tcPr>
            <w:tcW w:type="dxa" w:w="1728"/>
          </w:tcPr>
          <w:p>
            <w:r>
              <w:t>Low-Moderate</w:t>
            </w:r>
          </w:p>
        </w:tc>
        <w:tc>
          <w:tcPr>
            <w:tcW w:type="dxa" w:w="1728"/>
          </w:tcPr>
          <w:p>
            <w:r>
              <w:t>15-20%</w:t>
            </w:r>
          </w:p>
        </w:tc>
        <w:tc>
          <w:tcPr>
            <w:tcW w:type="dxa" w:w="1728"/>
          </w:tcPr>
          <w:p>
            <w:r>
              <w:t>High</w:t>
            </w:r>
          </w:p>
        </w:tc>
        <w:tc>
          <w:tcPr>
            <w:tcW w:type="dxa" w:w="1728"/>
          </w:tcPr>
          <w:p>
            <w:r>
              <w:t>Bond duration management</w:t>
            </w:r>
          </w:p>
        </w:tc>
      </w:tr>
      <w:tr>
        <w:tc>
          <w:tcPr>
            <w:tcW w:type="dxa" w:w="1728"/>
          </w:tcPr>
          <w:p>
            <w:r>
              <w:t>Geopolitical Crisis</w:t>
            </w:r>
          </w:p>
        </w:tc>
        <w:tc>
          <w:tcPr>
            <w:tcW w:type="dxa" w:w="1728"/>
          </w:tcPr>
          <w:p>
            <w:r>
              <w:t>Low</w:t>
            </w:r>
          </w:p>
        </w:tc>
        <w:tc>
          <w:tcPr>
            <w:tcW w:type="dxa" w:w="1728"/>
          </w:tcPr>
          <w:p>
            <w:r>
              <w:t>10-15%</w:t>
            </w:r>
          </w:p>
        </w:tc>
        <w:tc>
          <w:tcPr>
            <w:tcW w:type="dxa" w:w="1728"/>
          </w:tcPr>
          <w:p>
            <w:r>
              <w:t>High</w:t>
            </w:r>
          </w:p>
        </w:tc>
        <w:tc>
          <w:tcPr>
            <w:tcW w:type="dxa" w:w="1728"/>
          </w:tcPr>
          <w:p>
            <w:r>
              <w:t>Gold, Treasury bonds</w:t>
            </w:r>
          </w:p>
        </w:tc>
      </w:tr>
    </w:tbl>
    <w:p>
      <w:r>
        <w:br w:type="page"/>
      </w:r>
    </w:p>
    <w:p>
      <w:pPr>
        <w:pStyle w:val="Heading1"/>
      </w:pPr>
      <w:r>
        <w:t>Part 8: Monthly Action Checklist</w:t>
      </w:r>
    </w:p>
    <w:p>
      <w:pPr>
        <w:pStyle w:val="Heading2"/>
      </w:pPr>
      <w:r>
        <w:t>Week 1 of Each Month</w:t>
      </w:r>
    </w:p>
    <w:p>
      <w:pPr>
        <w:pStyle w:val="ListBullet"/>
      </w:pPr>
      <w:r>
        <w:t>Check portfolio performance vs benchmarks</w:t>
      </w:r>
    </w:p>
    <w:p>
      <w:pPr>
        <w:pStyle w:val="ListBullet"/>
      </w:pPr>
      <w:r>
        <w:t>Verify automatic contributions went through</w:t>
      </w:r>
    </w:p>
    <w:p>
      <w:pPr>
        <w:pStyle w:val="ListBullet"/>
      </w:pPr>
      <w:r>
        <w:t>Review any dividends received — reinvest if not set to auto-reinvest (DRIP)</w:t>
      </w:r>
    </w:p>
    <w:p>
      <w:pPr>
        <w:pStyle w:val="Heading2"/>
      </w:pPr>
      <w:r>
        <w:t>Week 2 of Each Month</w:t>
      </w:r>
    </w:p>
    <w:p>
      <w:pPr>
        <w:pStyle w:val="ListBullet"/>
      </w:pPr>
      <w:r>
        <w:t>Read one market update (Schwab, Vanguard, or Fidelity monthly outlook — all free)</w:t>
      </w:r>
    </w:p>
    <w:p>
      <w:pPr>
        <w:pStyle w:val="ListBullet"/>
      </w:pPr>
      <w:r>
        <w:t>Check if any allocation has drifted 5%+ from target</w:t>
      </w:r>
    </w:p>
    <w:p>
      <w:pPr>
        <w:pStyle w:val="ListBullet"/>
      </w:pPr>
      <w:r>
        <w:t>Review emergency fund — top up if it dropped below target</w:t>
      </w:r>
    </w:p>
    <w:p>
      <w:pPr>
        <w:pStyle w:val="Heading2"/>
      </w:pPr>
      <w:r>
        <w:t>Quarterly (Every 3 Months)</w:t>
      </w:r>
    </w:p>
    <w:p>
      <w:pPr>
        <w:pStyle w:val="ListBullet"/>
      </w:pPr>
      <w:r>
        <w:t>Rebalance portfolio if needed (sell winners, buy underweight positions)</w:t>
      </w:r>
    </w:p>
    <w:p>
      <w:pPr>
        <w:pStyle w:val="ListBullet"/>
      </w:pPr>
      <w:r>
        <w:t>Review individual holdings — remove any that no longer fit your thesis</w:t>
      </w:r>
    </w:p>
    <w:p>
      <w:pPr>
        <w:pStyle w:val="ListBullet"/>
      </w:pPr>
      <w:r>
        <w:t>Tax-loss harvest in taxable accounts if opportunities exist</w:t>
      </w:r>
    </w:p>
    <w:p>
      <w:pPr>
        <w:pStyle w:val="ListBullet"/>
      </w:pPr>
      <w:r>
        <w:t>Reassess risk tolerance — has anything changed in your life?</w:t>
      </w:r>
    </w:p>
    <w:p>
      <w:pPr>
        <w:pStyle w:val="Heading2"/>
      </w:pPr>
      <w:r>
        <w:t>Annually (January)</w:t>
      </w:r>
    </w:p>
    <w:p>
      <w:pPr>
        <w:pStyle w:val="ListBullet"/>
      </w:pPr>
      <w:r>
        <w:t>Max out Roth IRA contribution for the new year ($7,000 in 2026)</w:t>
      </w:r>
    </w:p>
    <w:p>
      <w:pPr>
        <w:pStyle w:val="ListBullet"/>
      </w:pPr>
      <w:r>
        <w:t>Review and adjust strategy based on life changes</w:t>
      </w:r>
    </w:p>
    <w:p>
      <w:pPr>
        <w:pStyle w:val="ListBullet"/>
      </w:pPr>
      <w:r>
        <w:t>Check beneficiary designations on all accounts</w:t>
      </w:r>
    </w:p>
    <w:p>
      <w:pPr>
        <w:pStyle w:val="ListBullet"/>
      </w:pPr>
      <w:r>
        <w:t>Increase monthly contributions by at least the rate of your salary increase</w:t>
      </w:r>
    </w:p>
    <w:p>
      <w:pPr>
        <w:pStyle w:val="ListBullet"/>
      </w:pPr>
      <w:r>
        <w:t>File taxes — apply any refund to investments</w:t>
      </w:r>
    </w:p>
    <w:p>
      <w:r>
        <w:br w:type="page"/>
      </w:r>
    </w:p>
    <w:p>
      <w:pPr>
        <w:pStyle w:val="Heading1"/>
      </w:pPr>
      <w:r>
        <w:t>Part 9: Recommended Platforms &amp; Tools</w:t>
      </w:r>
    </w:p>
    <w:p>
      <w:pPr>
        <w:pStyle w:val="Heading2"/>
      </w:pPr>
      <w:r>
        <w:t>Brokerage Accounts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Platform</w:t>
            </w:r>
          </w:p>
        </w:tc>
        <w:tc>
          <w:tcPr>
            <w:tcW w:type="dxa" w:w="2160"/>
          </w:tcPr>
          <w:p>
            <w:r>
              <w:rPr>
                <w:b/>
              </w:rPr>
              <w:t>Best For</w:t>
            </w:r>
          </w:p>
        </w:tc>
        <w:tc>
          <w:tcPr>
            <w:tcW w:type="dxa" w:w="2160"/>
          </w:tcPr>
          <w:p>
            <w:r>
              <w:rPr>
                <w:b/>
              </w:rPr>
              <w:t>Fees</w:t>
            </w:r>
          </w:p>
        </w:tc>
        <w:tc>
          <w:tcPr>
            <w:tcW w:type="dxa" w:w="2160"/>
          </w:tcPr>
          <w:p>
            <w:r>
              <w:rPr>
                <w:b/>
              </w:rPr>
              <w:t>Key Features</w:t>
            </w:r>
          </w:p>
        </w:tc>
      </w:tr>
      <w:tr>
        <w:tc>
          <w:tcPr>
            <w:tcW w:type="dxa" w:w="2160"/>
          </w:tcPr>
          <w:p>
            <w:r>
              <w:t>Fidelity</w:t>
            </w:r>
          </w:p>
        </w:tc>
        <w:tc>
          <w:tcPr>
            <w:tcW w:type="dxa" w:w="2160"/>
          </w:tcPr>
          <w:p>
            <w:r>
              <w:t>Overall best</w:t>
            </w:r>
          </w:p>
        </w:tc>
        <w:tc>
          <w:tcPr>
            <w:tcW w:type="dxa" w:w="2160"/>
          </w:tcPr>
          <w:p>
            <w:r>
              <w:t>$0 commissions, no minimums</w:t>
            </w:r>
          </w:p>
        </w:tc>
        <w:tc>
          <w:tcPr>
            <w:tcW w:type="dxa" w:w="2160"/>
          </w:tcPr>
          <w:p>
            <w:r>
              <w:t>Fractional shares, great research, Roth IRA</w:t>
            </w:r>
          </w:p>
        </w:tc>
      </w:tr>
      <w:tr>
        <w:tc>
          <w:tcPr>
            <w:tcW w:type="dxa" w:w="2160"/>
          </w:tcPr>
          <w:p>
            <w:r>
              <w:t>Charles Schwab</w:t>
            </w:r>
          </w:p>
        </w:tc>
        <w:tc>
          <w:tcPr>
            <w:tcW w:type="dxa" w:w="2160"/>
          </w:tcPr>
          <w:p>
            <w:r>
              <w:t>All-in-one banking + investing</w:t>
            </w:r>
          </w:p>
        </w:tc>
        <w:tc>
          <w:tcPr>
            <w:tcW w:type="dxa" w:w="2160"/>
          </w:tcPr>
          <w:p>
            <w:r>
              <w:t>$0 commissions, no minimums</w:t>
            </w:r>
          </w:p>
        </w:tc>
        <w:tc>
          <w:tcPr>
            <w:tcW w:type="dxa" w:w="2160"/>
          </w:tcPr>
          <w:p>
            <w:r>
              <w:t>Checking account, great customer service</w:t>
            </w:r>
          </w:p>
        </w:tc>
      </w:tr>
      <w:tr>
        <w:tc>
          <w:tcPr>
            <w:tcW w:type="dxa" w:w="2160"/>
          </w:tcPr>
          <w:p>
            <w:r>
              <w:t>Vanguard</w:t>
            </w:r>
          </w:p>
        </w:tc>
        <w:tc>
          <w:tcPr>
            <w:tcW w:type="dxa" w:w="2160"/>
          </w:tcPr>
          <w:p>
            <w:r>
              <w:t>Long-term index investors</w:t>
            </w:r>
          </w:p>
        </w:tc>
        <w:tc>
          <w:tcPr>
            <w:tcW w:type="dxa" w:w="2160"/>
          </w:tcPr>
          <w:p>
            <w:r>
              <w:t>$0 on Vanguard ETFs</w:t>
            </w:r>
          </w:p>
        </w:tc>
        <w:tc>
          <w:tcPr>
            <w:tcW w:type="dxa" w:w="2160"/>
          </w:tcPr>
          <w:p>
            <w:r>
              <w:t>Lowest-cost funds, investor-owned</w:t>
            </w:r>
          </w:p>
        </w:tc>
      </w:tr>
      <w:tr>
        <w:tc>
          <w:tcPr>
            <w:tcW w:type="dxa" w:w="2160"/>
          </w:tcPr>
          <w:p>
            <w:r>
              <w:t>Robinhood</w:t>
            </w:r>
          </w:p>
        </w:tc>
        <w:tc>
          <w:tcPr>
            <w:tcW w:type="dxa" w:w="2160"/>
          </w:tcPr>
          <w:p>
            <w:r>
              <w:t>Beginners, simple UI</w:t>
            </w:r>
          </w:p>
        </w:tc>
        <w:tc>
          <w:tcPr>
            <w:tcW w:type="dxa" w:w="2160"/>
          </w:tcPr>
          <w:p>
            <w:r>
              <w:t>$0 commissions</w:t>
            </w:r>
          </w:p>
        </w:tc>
        <w:tc>
          <w:tcPr>
            <w:tcW w:type="dxa" w:w="2160"/>
          </w:tcPr>
          <w:p>
            <w:r>
              <w:t>Easy to use, crypto built-in</w:t>
            </w:r>
          </w:p>
        </w:tc>
      </w:tr>
      <w:tr>
        <w:tc>
          <w:tcPr>
            <w:tcW w:type="dxa" w:w="2160"/>
          </w:tcPr>
          <w:p>
            <w:r>
              <w:t>M1 Finance</w:t>
            </w:r>
          </w:p>
        </w:tc>
        <w:tc>
          <w:tcPr>
            <w:tcW w:type="dxa" w:w="2160"/>
          </w:tcPr>
          <w:p>
            <w:r>
              <w:t>Automated portfolio building</w:t>
            </w:r>
          </w:p>
        </w:tc>
        <w:tc>
          <w:tcPr>
            <w:tcW w:type="dxa" w:w="2160"/>
          </w:tcPr>
          <w:p>
            <w:r>
              <w:t>$0 commissions</w:t>
            </w:r>
          </w:p>
        </w:tc>
        <w:tc>
          <w:tcPr>
            <w:tcW w:type="dxa" w:w="2160"/>
          </w:tcPr>
          <w:p>
            <w:r>
              <w:t>Pie-based allocation, auto-rebalance</w:t>
            </w:r>
          </w:p>
        </w:tc>
      </w:tr>
    </w:tbl>
    <w:p>
      <w:pPr>
        <w:pStyle w:val="Heading2"/>
      </w:pPr>
      <w:r>
        <w:t>High-Yield Savings Accounts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Bank</w:t>
            </w:r>
          </w:p>
        </w:tc>
        <w:tc>
          <w:tcPr>
            <w:tcW w:type="dxa" w:w="2160"/>
          </w:tcPr>
          <w:p>
            <w:r>
              <w:rPr>
                <w:b/>
              </w:rPr>
              <w:t>APY (Feb 2026)</w:t>
            </w:r>
          </w:p>
        </w:tc>
        <w:tc>
          <w:tcPr>
            <w:tcW w:type="dxa" w:w="2160"/>
          </w:tcPr>
          <w:p>
            <w:r>
              <w:rPr>
                <w:b/>
              </w:rPr>
              <w:t>Minimum</w:t>
            </w:r>
          </w:p>
        </w:tc>
        <w:tc>
          <w:tcPr>
            <w:tcW w:type="dxa" w:w="2160"/>
          </w:tcPr>
          <w:p>
            <w:r>
              <w:rPr>
                <w:b/>
              </w:rPr>
              <w:t>Notable</w:t>
            </w:r>
          </w:p>
        </w:tc>
      </w:tr>
      <w:tr>
        <w:tc>
          <w:tcPr>
            <w:tcW w:type="dxa" w:w="2160"/>
          </w:tcPr>
          <w:p>
            <w:r>
              <w:t>SoFi</w:t>
            </w:r>
          </w:p>
        </w:tc>
        <w:tc>
          <w:tcPr>
            <w:tcW w:type="dxa" w:w="2160"/>
          </w:tcPr>
          <w:p>
            <w:r>
              <w:t>4.00%</w:t>
            </w:r>
          </w:p>
        </w:tc>
        <w:tc>
          <w:tcPr>
            <w:tcW w:type="dxa" w:w="2160"/>
          </w:tcPr>
          <w:p>
            <w:r>
              <w:t>$0</w:t>
            </w:r>
          </w:p>
        </w:tc>
        <w:tc>
          <w:tcPr>
            <w:tcW w:type="dxa" w:w="2160"/>
          </w:tcPr>
          <w:p>
            <w:r>
              <w:t>Also offers investing and checking</w:t>
            </w:r>
          </w:p>
        </w:tc>
      </w:tr>
      <w:tr>
        <w:tc>
          <w:tcPr>
            <w:tcW w:type="dxa" w:w="2160"/>
          </w:tcPr>
          <w:p>
            <w:r>
              <w:t>Barclays</w:t>
            </w:r>
          </w:p>
        </w:tc>
        <w:tc>
          <w:tcPr>
            <w:tcW w:type="dxa" w:w="2160"/>
          </w:tcPr>
          <w:p>
            <w:r>
              <w:t>4.00%</w:t>
            </w:r>
          </w:p>
        </w:tc>
        <w:tc>
          <w:tcPr>
            <w:tcW w:type="dxa" w:w="2160"/>
          </w:tcPr>
          <w:p>
            <w:r>
              <w:t>$0</w:t>
            </w:r>
          </w:p>
        </w:tc>
        <w:tc>
          <w:tcPr>
            <w:tcW w:type="dxa" w:w="2160"/>
          </w:tcPr>
          <w:p>
            <w:r>
              <w:t>Established, reliable</w:t>
            </w:r>
          </w:p>
        </w:tc>
      </w:tr>
      <w:tr>
        <w:tc>
          <w:tcPr>
            <w:tcW w:type="dxa" w:w="2160"/>
          </w:tcPr>
          <w:p>
            <w:r>
              <w:t>Marcus (Goldman Sachs)</w:t>
            </w:r>
          </w:p>
        </w:tc>
        <w:tc>
          <w:tcPr>
            <w:tcW w:type="dxa" w:w="2160"/>
          </w:tcPr>
          <w:p>
            <w:r>
              <w:t>3.90%</w:t>
            </w:r>
          </w:p>
        </w:tc>
        <w:tc>
          <w:tcPr>
            <w:tcW w:type="dxa" w:w="2160"/>
          </w:tcPr>
          <w:p>
            <w:r>
              <w:t>$0</w:t>
            </w:r>
          </w:p>
        </w:tc>
        <w:tc>
          <w:tcPr>
            <w:tcW w:type="dxa" w:w="2160"/>
          </w:tcPr>
          <w:p>
            <w:r>
              <w:t>No fees, strong brand</w:t>
            </w:r>
          </w:p>
        </w:tc>
      </w:tr>
      <w:tr>
        <w:tc>
          <w:tcPr>
            <w:tcW w:type="dxa" w:w="2160"/>
          </w:tcPr>
          <w:p>
            <w:r>
              <w:t>Newtek Bank</w:t>
            </w:r>
          </w:p>
        </w:tc>
        <w:tc>
          <w:tcPr>
            <w:tcW w:type="dxa" w:w="2160"/>
          </w:tcPr>
          <w:p>
            <w:r>
              <w:t>4.35%</w:t>
            </w:r>
          </w:p>
        </w:tc>
        <w:tc>
          <w:tcPr>
            <w:tcW w:type="dxa" w:w="2160"/>
          </w:tcPr>
          <w:p>
            <w:r>
              <w:t>$0</w:t>
            </w:r>
          </w:p>
        </w:tc>
        <w:tc>
          <w:tcPr>
            <w:tcW w:type="dxa" w:w="2160"/>
          </w:tcPr>
          <w:p>
            <w:r>
              <w:t>Highest standard rate</w:t>
            </w:r>
          </w:p>
        </w:tc>
      </w:tr>
      <w:tr>
        <w:tc>
          <w:tcPr>
            <w:tcW w:type="dxa" w:w="2160"/>
          </w:tcPr>
          <w:p>
            <w:r>
              <w:t>Varo</w:t>
            </w:r>
          </w:p>
        </w:tc>
        <w:tc>
          <w:tcPr>
            <w:tcW w:type="dxa" w:w="2160"/>
          </w:tcPr>
          <w:p>
            <w:r>
              <w:t>Up to 5.00%</w:t>
            </w:r>
          </w:p>
        </w:tc>
        <w:tc>
          <w:tcPr>
            <w:tcW w:type="dxa" w:w="2160"/>
          </w:tcPr>
          <w:p>
            <w:r>
              <w:t>$0</w:t>
            </w:r>
          </w:p>
        </w:tc>
        <w:tc>
          <w:tcPr>
            <w:tcW w:type="dxa" w:w="2160"/>
          </w:tcPr>
          <w:p>
            <w:r>
              <w:t>Conditional — requires direct deposit</w:t>
            </w:r>
          </w:p>
        </w:tc>
      </w:tr>
    </w:tbl>
    <w:p>
      <w:pPr>
        <w:pStyle w:val="Heading2"/>
      </w:pPr>
      <w:r>
        <w:t>Portfolio Tracking Tools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Tool</w:t>
            </w:r>
          </w:p>
        </w:tc>
        <w:tc>
          <w:tcPr>
            <w:tcW w:type="dxa" w:w="2880"/>
          </w:tcPr>
          <w:p>
            <w:r>
              <w:rPr>
                <w:b/>
              </w:rPr>
              <w:t>Cost</w:t>
            </w:r>
          </w:p>
        </w:tc>
        <w:tc>
          <w:tcPr>
            <w:tcW w:type="dxa" w:w="2880"/>
          </w:tcPr>
          <w:p>
            <w:r>
              <w:rPr>
                <w:b/>
              </w:rPr>
              <w:t>Features</w:t>
            </w:r>
          </w:p>
        </w:tc>
      </w:tr>
      <w:tr>
        <w:tc>
          <w:tcPr>
            <w:tcW w:type="dxa" w:w="2880"/>
          </w:tcPr>
          <w:p>
            <w:r>
              <w:t>Empower (Personal Capital)</w:t>
            </w:r>
          </w:p>
        </w:tc>
        <w:tc>
          <w:tcPr>
            <w:tcW w:type="dxa" w:w="2880"/>
          </w:tcPr>
          <w:p>
            <w:r>
              <w:t>Free</w:t>
            </w:r>
          </w:p>
        </w:tc>
        <w:tc>
          <w:tcPr>
            <w:tcW w:type="dxa" w:w="2880"/>
          </w:tcPr>
          <w:p>
            <w:r>
              <w:t>Net worth tracker, asset allocation, retirement planner</w:t>
            </w:r>
          </w:p>
        </w:tc>
      </w:tr>
      <w:tr>
        <w:tc>
          <w:tcPr>
            <w:tcW w:type="dxa" w:w="2880"/>
          </w:tcPr>
          <w:p>
            <w:r>
              <w:t>Brokerage App (Fidelity/Schwab)</w:t>
            </w:r>
          </w:p>
        </w:tc>
        <w:tc>
          <w:tcPr>
            <w:tcW w:type="dxa" w:w="2880"/>
          </w:tcPr>
          <w:p>
            <w:r>
              <w:t>Free</w:t>
            </w:r>
          </w:p>
        </w:tc>
        <w:tc>
          <w:tcPr>
            <w:tcW w:type="dxa" w:w="2880"/>
          </w:tcPr>
          <w:p>
            <w:r>
              <w:t>Built-in portfolio analysis</w:t>
            </w:r>
          </w:p>
        </w:tc>
      </w:tr>
      <w:tr>
        <w:tc>
          <w:tcPr>
            <w:tcW w:type="dxa" w:w="2880"/>
          </w:tcPr>
          <w:p>
            <w:r>
              <w:t>Yahoo Finance</w:t>
            </w:r>
          </w:p>
        </w:tc>
        <w:tc>
          <w:tcPr>
            <w:tcW w:type="dxa" w:w="2880"/>
          </w:tcPr>
          <w:p>
            <w:r>
              <w:t>Free</w:t>
            </w:r>
          </w:p>
        </w:tc>
        <w:tc>
          <w:tcPr>
            <w:tcW w:type="dxa" w:w="2880"/>
          </w:tcPr>
          <w:p>
            <w:r>
              <w:t>Watchlists, news, basic portfolio tracking</w:t>
            </w:r>
          </w:p>
        </w:tc>
      </w:tr>
      <w:tr>
        <w:tc>
          <w:tcPr>
            <w:tcW w:type="dxa" w:w="2880"/>
          </w:tcPr>
          <w:p>
            <w:r>
              <w:t>Morningstar</w:t>
            </w:r>
          </w:p>
        </w:tc>
        <w:tc>
          <w:tcPr>
            <w:tcW w:type="dxa" w:w="2880"/>
          </w:tcPr>
          <w:p>
            <w:r>
              <w:t>$34.95/mo</w:t>
            </w:r>
          </w:p>
        </w:tc>
        <w:tc>
          <w:tcPr>
            <w:tcW w:type="dxa" w:w="2880"/>
          </w:tcPr>
          <w:p>
            <w:r>
              <w:t>Deep fund analysis, ratings, portfolio X-ray</w:t>
            </w:r>
          </w:p>
        </w:tc>
      </w:tr>
    </w:tbl>
    <w:p>
      <w:pPr>
        <w:pStyle w:val="Heading2"/>
      </w:pPr>
      <w:r>
        <w:t>Educational Resources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Resource</w:t>
            </w:r>
          </w:p>
        </w:tc>
        <w:tc>
          <w:tcPr>
            <w:tcW w:type="dxa" w:w="2880"/>
          </w:tcPr>
          <w:p>
            <w:r>
              <w:rPr>
                <w:b/>
              </w:rPr>
              <w:t>Type</w:t>
            </w:r>
          </w:p>
        </w:tc>
        <w:tc>
          <w:tcPr>
            <w:tcW w:type="dxa" w:w="2880"/>
          </w:tcPr>
          <w:p>
            <w:r>
              <w:rPr>
                <w:b/>
              </w:rPr>
              <w:t>Best For</w:t>
            </w:r>
          </w:p>
        </w:tc>
      </w:tr>
      <w:tr>
        <w:tc>
          <w:tcPr>
            <w:tcW w:type="dxa" w:w="2880"/>
          </w:tcPr>
          <w:p>
            <w:r>
              <w:t>Investopedia</w:t>
            </w:r>
          </w:p>
        </w:tc>
        <w:tc>
          <w:tcPr>
            <w:tcW w:type="dxa" w:w="2880"/>
          </w:tcPr>
          <w:p>
            <w:r>
              <w:t>Website</w:t>
            </w:r>
          </w:p>
        </w:tc>
        <w:tc>
          <w:tcPr>
            <w:tcW w:type="dxa" w:w="2880"/>
          </w:tcPr>
          <w:p>
            <w:r>
              <w:t>Learning investment basics and terminology</w:t>
            </w:r>
          </w:p>
        </w:tc>
      </w:tr>
      <w:tr>
        <w:tc>
          <w:tcPr>
            <w:tcW w:type="dxa" w:w="2880"/>
          </w:tcPr>
          <w:p>
            <w:r>
              <w:t>Bogleheads Wiki/Forum</w:t>
            </w:r>
          </w:p>
        </w:tc>
        <w:tc>
          <w:tcPr>
            <w:tcW w:type="dxa" w:w="2880"/>
          </w:tcPr>
          <w:p>
            <w:r>
              <w:t>Community</w:t>
            </w:r>
          </w:p>
        </w:tc>
        <w:tc>
          <w:tcPr>
            <w:tcW w:type="dxa" w:w="2880"/>
          </w:tcPr>
          <w:p>
            <w:r>
              <w:t>Index fund investing philosophy</w:t>
            </w:r>
          </w:p>
        </w:tc>
      </w:tr>
      <w:tr>
        <w:tc>
          <w:tcPr>
            <w:tcW w:type="dxa" w:w="2880"/>
          </w:tcPr>
          <w:p>
            <w:r>
              <w:t>The Money Guy Show</w:t>
            </w:r>
          </w:p>
        </w:tc>
        <w:tc>
          <w:tcPr>
            <w:tcW w:type="dxa" w:w="2880"/>
          </w:tcPr>
          <w:p>
            <w:r>
              <w:t>YouTube/Podcast</w:t>
            </w:r>
          </w:p>
        </w:tc>
        <w:tc>
          <w:tcPr>
            <w:tcW w:type="dxa" w:w="2880"/>
          </w:tcPr>
          <w:p>
            <w:r>
              <w:t>Financial planning for wealth building</w:t>
            </w:r>
          </w:p>
        </w:tc>
      </w:tr>
      <w:tr>
        <w:tc>
          <w:tcPr>
            <w:tcW w:type="dxa" w:w="2880"/>
          </w:tcPr>
          <w:p>
            <w:r>
              <w:t>Ben Felix (YouTube)</w:t>
            </w:r>
          </w:p>
        </w:tc>
        <w:tc>
          <w:tcPr>
            <w:tcW w:type="dxa" w:w="2880"/>
          </w:tcPr>
          <w:p>
            <w:r>
              <w:t>YouTube</w:t>
            </w:r>
          </w:p>
        </w:tc>
        <w:tc>
          <w:tcPr>
            <w:tcW w:type="dxa" w:w="2880"/>
          </w:tcPr>
          <w:p>
            <w:r>
              <w:t>Evidence-based investing education</w:t>
            </w:r>
          </w:p>
        </w:tc>
      </w:tr>
      <w:tr>
        <w:tc>
          <w:tcPr>
            <w:tcW w:type="dxa" w:w="2880"/>
          </w:tcPr>
          <w:p>
            <w:r>
              <w:t>r/personalfinance</w:t>
            </w:r>
          </w:p>
        </w:tc>
        <w:tc>
          <w:tcPr>
            <w:tcW w:type="dxa" w:w="2880"/>
          </w:tcPr>
          <w:p>
            <w:r>
              <w:t>Reddit</w:t>
            </w:r>
          </w:p>
        </w:tc>
        <w:tc>
          <w:tcPr>
            <w:tcW w:type="dxa" w:w="2880"/>
          </w:tcPr>
          <w:p>
            <w:r>
              <w:t>Community advice, Prime Directive flowchart</w:t>
            </w:r>
          </w:p>
        </w:tc>
      </w:tr>
    </w:tbl>
    <w:p>
      <w:r>
        <w:br w:type="page"/>
      </w:r>
    </w:p>
    <w:p>
      <w:pPr>
        <w:pStyle w:val="Heading1"/>
      </w:pPr>
      <w:r>
        <w:t>Part 10: Sources &amp; References</w:t>
      </w:r>
    </w:p>
    <w:p>
      <w:r>
        <w:t>All data in this document is sourced from the following (as of January-February 2026):</w:t>
      </w:r>
    </w:p>
    <w:p>
      <w:pPr>
        <w:pStyle w:val="ListBullet"/>
      </w:pPr>
      <w:r>
        <w:t>Federal Reserve FOMC Statement, January 28, 2026 — federalreserve.gov</w:t>
      </w:r>
    </w:p>
    <w:p>
      <w:pPr>
        <w:pStyle w:val="ListBullet"/>
      </w:pPr>
      <w:r>
        <w:t>Federal Reserve Summary of Economic Projections, December 2025 — FRED Blog (St. Louis Fed)</w:t>
      </w:r>
    </w:p>
    <w:p>
      <w:pPr>
        <w:pStyle w:val="ListBullet"/>
      </w:pPr>
      <w:r>
        <w:t>Deloitte US Economic Forecast Q4 2025 — deloitte.com</w:t>
      </w:r>
    </w:p>
    <w:p>
      <w:pPr>
        <w:pStyle w:val="ListBullet"/>
      </w:pPr>
      <w:r>
        <w:t>Vanguard Economic and Market Outlook for 2026 — corporate.vanguard.com</w:t>
      </w:r>
    </w:p>
    <w:p>
      <w:pPr>
        <w:pStyle w:val="ListBullet"/>
      </w:pPr>
      <w:r>
        <w:t>BlackRock 2026 Market Outlook: "The Odds Are Changing" — blackrock.com</w:t>
      </w:r>
    </w:p>
    <w:p>
      <w:pPr>
        <w:pStyle w:val="ListBullet"/>
      </w:pPr>
      <w:r>
        <w:t>J.P. Morgan 2026 Market Outlook — jpmorgan.com</w:t>
      </w:r>
    </w:p>
    <w:p>
      <w:pPr>
        <w:pStyle w:val="ListBullet"/>
      </w:pPr>
      <w:r>
        <w:t>Charles Schwab 2026 Outlook: U.S. Stocks and Economy — schwab.com</w:t>
      </w:r>
    </w:p>
    <w:p>
      <w:pPr>
        <w:pStyle w:val="ListBullet"/>
      </w:pPr>
      <w:r>
        <w:t>Wells Fargo 2026 Outlook — wellsfargo.com</w:t>
      </w:r>
    </w:p>
    <w:p>
      <w:pPr>
        <w:pStyle w:val="ListBullet"/>
      </w:pPr>
      <w:r>
        <w:t>iShares/BlackRock Fed Outlook 2026 — ishares.com</w:t>
      </w:r>
    </w:p>
    <w:p>
      <w:pPr>
        <w:pStyle w:val="ListBullet"/>
      </w:pPr>
      <w:r>
        <w:t>PIMCO: Charting the Year Ahead, Investment Ideas for 2026 — pimco.com</w:t>
      </w:r>
    </w:p>
    <w:p>
      <w:pPr>
        <w:pStyle w:val="ListBullet"/>
      </w:pPr>
      <w:r>
        <w:t>KPMG Economic Compass, January 2026 — kpmg.com</w:t>
      </w:r>
    </w:p>
    <w:p>
      <w:pPr>
        <w:pStyle w:val="ListBullet"/>
      </w:pPr>
      <w:r>
        <w:t>Fidelity 2026 Investing Outlook — fidelity.com</w:t>
      </w:r>
    </w:p>
    <w:p>
      <w:pPr>
        <w:pStyle w:val="ListBullet"/>
      </w:pPr>
      <w:r>
        <w:t>Bankrate: Best ETFs for 2026 — bankrate.com</w:t>
      </w:r>
    </w:p>
    <w:p>
      <w:pPr>
        <w:pStyle w:val="ListBullet"/>
      </w:pPr>
      <w:r>
        <w:t>Bankrate: Best High-Yield Savings Accounts, February 2026 — bankrate.com</w:t>
      </w:r>
    </w:p>
    <w:p>
      <w:pPr>
        <w:pStyle w:val="ListBullet"/>
      </w:pPr>
      <w:r>
        <w:t>CNBC: Best High-Yield Savings Accounts, February 2026 — cnbc.com</w:t>
      </w:r>
    </w:p>
    <w:p>
      <w:pPr>
        <w:pStyle w:val="ListBullet"/>
      </w:pPr>
      <w:r>
        <w:t>Fortune: Best Savings Account Rates, January 2026 — fortune.com</w:t>
      </w:r>
    </w:p>
    <w:p>
      <w:pPr>
        <w:pStyle w:val="ListBullet"/>
      </w:pPr>
      <w:r>
        <w:t>Intellectia: Best Treasury ETFs for 2026 — intellectia.ai</w:t>
      </w:r>
    </w:p>
    <w:p>
      <w:pPr>
        <w:pStyle w:val="ListBullet"/>
      </w:pPr>
      <w:r>
        <w:t>Morningstar: Best Large-Value Funds and ETFs — morningstar.com</w:t>
      </w:r>
    </w:p>
    <w:p>
      <w:pPr>
        <w:pStyle w:val="ListBullet"/>
      </w:pPr>
      <w:r>
        <w:t>NPR: Fed Holds Interest Rates Steady, January 2026 — npr.org</w:t>
      </w:r>
    </w:p>
    <w:p>
      <w:pPr>
        <w:pStyle w:val="ListBullet"/>
      </w:pPr>
      <w:r>
        <w:t>CNBC: Fed Holds Key Interest Rate Steady, January 2026 — cnbc.com</w:t>
      </w:r>
    </w:p>
    <w:p>
      <w:pPr>
        <w:pStyle w:val="ListBullet"/>
      </w:pPr>
      <w:r>
        <w:t>J.P. Morgan: Fed Leaves Rates Unchanged to Start 2026 — jpmorgan.com</w:t>
      </w:r>
    </w:p>
    <w:p>
      <w:pPr>
        <w:pStyle w:val="ListBullet"/>
      </w:pPr>
      <w:r>
        <w:t>Clark Howard: Best Investments of 2025 — clark.com</w:t>
      </w:r>
    </w:p>
    <w:p>
      <w:pPr>
        <w:pStyle w:val="ListBullet"/>
      </w:pPr>
      <w:r>
        <w:t>The Motley Fool: Best High-Yield Savings Accounts, January 2026 — fool.com</w:t>
      </w:r>
    </w:p>
    <w:p/>
    <w:p/>
    <w:p>
      <w:r>
        <w:rPr>
          <w:b/>
          <w:color w:val="963232"/>
        </w:rPr>
        <w:t>FINAL DISCLAIMER</w:t>
      </w:r>
    </w:p>
    <w:p>
      <w:r>
        <w:t>This document is for educational and informational purposes only and does not constitute financial, investment, tax, or legal advice. The author is not a licensed financial advisor, broker, or tax professional. All investments involve risk, including the potential loss of principal. Past performance of any investment does not guarantee future results. The projections and estimates in this document are based on historical averages and current market conditions and may not reflect actual future performance. Cryptocurrency investments are highly volatile and speculative. Always consult with a qualified financial advisor before making investment decisions. Never invest money you cannot afford to lose.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