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p>
    <w:p>
      <w:pPr>
        <w:spacing w:before="0" w:after="40"/>
        <w:jc w:val="center"/>
      </w:pPr>
      <w:r>
        <w:rPr>
          <w:rFonts w:ascii="Georgia" w:cs="Georgia" w:eastAsia="Georgia" w:hAnsi="Georgia"/>
          <w:b/>
          <w:bCs/>
          <w:color w:val="2D5016"/>
          <w:spacing w:val="200"/>
          <w:sz w:val="44"/>
          <w:szCs w:val="44"/>
        </w:rPr>
        <w:t xml:space="preserve">GUARDIAN</w:t>
      </w:r>
    </w:p>
    <w:p>
      <w:pPr>
        <w:spacing w:before="0" w:after="40"/>
        <w:jc w:val="center"/>
      </w:pPr>
      <w:r>
        <w:rPr>
          <w:rFonts w:ascii="Georgia" w:cs="Georgia" w:eastAsia="Georgia" w:hAnsi="Georgia"/>
          <w:i/>
          <w:iCs/>
          <w:color w:val="6B4226"/>
          <w:sz w:val="26"/>
          <w:szCs w:val="26"/>
        </w:rPr>
        <w:t xml:space="preserve">Sovereign Stewardship Infrastructure</w:t>
      </w:r>
    </w:p>
    <w:p>
      <w:pPr>
        <w:spacing w:before="80" w:after="40"/>
        <w:jc w:val="center"/>
      </w:pPr>
      <w:r>
        <w:rPr>
          <w:rFonts w:ascii="Georgia" w:cs="Georgia" w:eastAsia="Georgia" w:hAnsi="Georgia"/>
          <w:color w:val="8B9A6B"/>
          <w:sz w:val="20"/>
          <w:szCs w:val="20"/>
        </w:rPr>
        <w:t xml:space="preserve">A Community-Owned System for Memory, Governance &amp; Cultural Continuity</w:t>
      </w:r>
    </w:p>
    <w:p>
      <w:pPr>
        <w:pBdr>
          <w:bottom w:val="single" w:color="B8860B" w:sz="4" w:space="1"/>
        </w:pBdr>
        <w:spacing w:before="200" w:after="200"/>
      </w:pPr>
    </w:p>
    <w:p>
      <w:pPr>
        <w:spacing w:before="200" w:after="120"/>
        <w:jc w:val="center"/>
      </w:pPr>
      <w:r>
        <w:rPr>
          <w:rFonts w:ascii="Georgia" w:cs="Georgia" w:eastAsia="Georgia" w:hAnsi="Georgia"/>
          <w:i/>
          <w:iCs/>
          <w:color w:val="2D5016"/>
          <w:sz w:val="24"/>
          <w:szCs w:val="24"/>
        </w:rPr>
        <w:t xml:space="preserve">Regeneration, ultimately, is relationship in action.</w:t>
      </w:r>
    </w:p>
    <w:p>
      <w:pPr>
        <w:spacing w:before="300" w:after="120"/>
      </w:pPr>
      <w:r>
        <w:rPr>
          <w:rFonts w:ascii="Georgia" w:cs="Georgia" w:eastAsia="Georgia" w:hAnsi="Georgia"/>
          <w:b/>
          <w:bCs/>
          <w:color w:val="2D5016"/>
          <w:spacing w:val="80"/>
          <w:sz w:val="22"/>
          <w:szCs w:val="22"/>
        </w:rPr>
        <w:t xml:space="preserve">THE CHALLENGE</w:t>
      </w:r>
    </w:p>
    <w:p>
      <w:pPr>
        <w:spacing w:before="80" w:after="80"/>
        <w:jc w:val="left"/>
      </w:pPr>
      <w:r>
        <w:rPr>
          <w:rFonts w:ascii="Georgia" w:cs="Georgia" w:eastAsia="Georgia" w:hAnsi="Georgia"/>
          <w:color w:val="333333"/>
          <w:sz w:val="22"/>
          <w:szCs w:val="22"/>
        </w:rPr>
        <w:t xml:space="preserve">Communities engaged in regenerative development face a paradox: the digital tools available to coordinate their work were designed to extract value, not protect it. Cloud-based systems aggregate data away from communities, create dependency on external platforms, and fragment the very knowledge systems that regeneration depends on.</w:t>
      </w:r>
    </w:p>
    <w:p>
      <w:pPr>
        <w:spacing w:before="120" w:after="80"/>
        <w:jc w:val="left"/>
      </w:pPr>
      <w:r>
        <w:rPr>
          <w:rFonts w:ascii="Georgia" w:cs="Georgia" w:eastAsia="Georgia" w:hAnsi="Georgia"/>
          <w:color w:val="333333"/>
          <w:sz w:val="22"/>
          <w:szCs w:val="22"/>
        </w:rPr>
        <w:t xml:space="preserve">The result is not a technology gap—it is a trust gap. Communities are asked to digitize their governance, their oral histories, and their ecological knowledge using infrastructure that fundamentally undermines sovereignty.</w:t>
      </w:r>
    </w:p>
    <w:p>
      <w:pPr>
        <w:spacing w:before="300" w:after="120"/>
      </w:pPr>
      <w:r>
        <w:rPr>
          <w:rFonts w:ascii="Georgia" w:cs="Georgia" w:eastAsia="Georgia" w:hAnsi="Georgia"/>
          <w:b/>
          <w:bCs/>
          <w:color w:val="2D5016"/>
          <w:spacing w:val="80"/>
          <w:sz w:val="22"/>
          <w:szCs w:val="22"/>
        </w:rPr>
        <w:t xml:space="preserve">THE APPROACH</w:t>
      </w:r>
    </w:p>
    <w:p>
      <w:pPr>
        <w:spacing w:before="80" w:after="80"/>
        <w:jc w:val="left"/>
      </w:pPr>
      <w:r>
        <w:rPr>
          <w:rFonts w:ascii="Georgia" w:cs="Georgia" w:eastAsia="Georgia" w:hAnsi="Georgia"/>
          <w:color w:val="333333"/>
          <w:sz w:val="22"/>
          <w:szCs w:val="22"/>
        </w:rPr>
        <w:t xml:space="preserve">Guardian is a place-based digital infrastructure designed for stewardship contexts. Rather than connecting communities to distant servers, Guardian operates locally—within the community’s own space, on their own devices, under their full control.</w:t>
      </w:r>
    </w:p>
    <w:p>
      <w:pPr>
        <w:spacing w:before="120" w:after="80"/>
        <w:jc w:val="left"/>
      </w:pPr>
      <w:r>
        <w:rPr>
          <w:rFonts w:ascii="Georgia" w:cs="Georgia" w:eastAsia="Georgia" w:hAnsi="Georgia"/>
          <w:color w:val="333333"/>
          <w:sz w:val="22"/>
          <w:szCs w:val="22"/>
        </w:rPr>
        <w:t xml:space="preserve">It functions as:</w:t>
      </w:r>
    </w:p>
    <w:p>
      <w:pPr>
        <w:spacing w:before="80" w:after="80"/>
        <w:jc w:val="left"/>
      </w:pPr>
      <w:r>
        <w:rPr>
          <w:rFonts w:ascii="Georgia" w:cs="Georgia" w:eastAsia="Georgia" w:hAnsi="Georgia"/>
          <w:b/>
          <w:bCs/>
          <w:i w:val="false"/>
          <w:iCs w:val="false"/>
          <w:color w:val="333333"/>
          <w:sz w:val="22"/>
          <w:szCs w:val="22"/>
        </w:rPr>
        <w:t xml:space="preserve">A community memory system</w:t>
      </w:r>
      <w:r>
        <w:rPr>
          <w:rFonts w:ascii="Georgia" w:cs="Georgia" w:eastAsia="Georgia" w:hAnsi="Georgia"/>
          <w:b w:val="false"/>
          <w:bCs w:val="false"/>
          <w:i w:val="false"/>
          <w:iCs w:val="false"/>
          <w:color w:val="333333"/>
          <w:sz w:val="22"/>
          <w:szCs w:val="22"/>
        </w:rPr>
        <w:t xml:space="preserve"> — preserving oral histories, governance records, institutional knowledge, and cultural documentation across leadership transitions.</w:t>
      </w:r>
    </w:p>
    <w:p>
      <w:pPr>
        <w:spacing w:before="80" w:after="80"/>
        <w:jc w:val="left"/>
      </w:pPr>
      <w:r>
        <w:rPr>
          <w:rFonts w:ascii="Georgia" w:cs="Georgia" w:eastAsia="Georgia" w:hAnsi="Georgia"/>
          <w:b/>
          <w:bCs/>
          <w:i w:val="false"/>
          <w:iCs w:val="false"/>
          <w:color w:val="333333"/>
          <w:sz w:val="22"/>
          <w:szCs w:val="22"/>
        </w:rPr>
        <w:t xml:space="preserve">A governance support tool</w:t>
      </w:r>
      <w:r>
        <w:rPr>
          <w:rFonts w:ascii="Georgia" w:cs="Georgia" w:eastAsia="Georgia" w:hAnsi="Georgia"/>
          <w:b w:val="false"/>
          <w:bCs w:val="false"/>
          <w:i w:val="false"/>
          <w:iCs w:val="false"/>
          <w:color w:val="333333"/>
          <w:sz w:val="22"/>
          <w:szCs w:val="22"/>
        </w:rPr>
        <w:t xml:space="preserve"> — retrieving historical decisions, precedents, and ethical frameworks so communities make informed choices grounded in their own experience.</w:t>
      </w:r>
    </w:p>
    <w:p>
      <w:pPr>
        <w:spacing w:before="80" w:after="80"/>
        <w:jc w:val="left"/>
      </w:pPr>
      <w:r>
        <w:rPr>
          <w:rFonts w:ascii="Georgia" w:cs="Georgia" w:eastAsia="Georgia" w:hAnsi="Georgia"/>
          <w:b/>
          <w:bCs/>
          <w:i w:val="false"/>
          <w:iCs w:val="false"/>
          <w:color w:val="333333"/>
          <w:sz w:val="22"/>
          <w:szCs w:val="22"/>
        </w:rPr>
        <w:t xml:space="preserve">A sovereignty protocol</w:t>
      </w:r>
      <w:r>
        <w:rPr>
          <w:rFonts w:ascii="Georgia" w:cs="Georgia" w:eastAsia="Georgia" w:hAnsi="Georgia"/>
          <w:b w:val="false"/>
          <w:bCs w:val="false"/>
          <w:i w:val="false"/>
          <w:iCs w:val="false"/>
          <w:color w:val="333333"/>
          <w:sz w:val="22"/>
          <w:szCs w:val="22"/>
        </w:rPr>
        <w:t xml:space="preserve"> — sensitive discussions can be processed without being stored. No external access. No cloud replication. The community retains full ownership.</w:t>
      </w:r>
    </w:p>
    <w:p>
      <w:pPr>
        <w:spacing w:before="300" w:after="120"/>
      </w:pPr>
      <w:r>
        <w:rPr>
          <w:rFonts w:ascii="Georgia" w:cs="Georgia" w:eastAsia="Georgia" w:hAnsi="Georgia"/>
          <w:b/>
          <w:bCs/>
          <w:color w:val="2D5016"/>
          <w:spacing w:val="80"/>
          <w:sz w:val="22"/>
          <w:szCs w:val="22"/>
        </w:rPr>
        <w:t xml:space="preserve">WHAT MAKES THIS DIFFERENT</w:t>
      </w:r>
    </w:p>
    <w:p>
      <w:pPr>
        <w:spacing w:before="80" w:after="80"/>
        <w:jc w:val="left"/>
      </w:pPr>
      <w:r>
        <w:rPr>
          <w:rFonts w:ascii="Georgia" w:cs="Georgia" w:eastAsia="Georgia" w:hAnsi="Georgia"/>
          <w:color w:val="333333"/>
          <w:sz w:val="22"/>
          <w:szCs w:val="22"/>
        </w:rPr>
        <w:t xml:space="preserve">Most digital tools aim to automate tasks and replace labor. Guardian infrastructure is designed to strengthen human judgment, not replace it. It preserves institutional memory. It enables intergenerational knowledge transfer. It supports the relationships that make regeneration possible.</w:t>
      </w:r>
    </w:p>
    <w:p>
      <w:pPr>
        <w:spacing w:before="160" w:after="80"/>
        <w:jc w:val="left"/>
      </w:pPr>
      <w:r>
        <w:rPr>
          <w:rFonts w:ascii="Georgia" w:cs="Georgia" w:eastAsia="Georgia" w:hAnsi="Georgia"/>
          <w:b w:val="false"/>
          <w:bCs w:val="false"/>
          <w:i/>
          <w:iCs/>
          <w:color w:val="2D5016"/>
          <w:sz w:val="22"/>
          <w:szCs w:val="22"/>
        </w:rPr>
        <w:t xml:space="preserve">Technology as companion—not replacement. Infrastructure for continuity—not extraction.</w:t>
      </w:r>
    </w:p>
    <w:p>
      <w:pPr>
        <w:spacing w:before="300" w:after="120"/>
      </w:pPr>
      <w:r>
        <w:rPr>
          <w:rFonts w:ascii="Georgia" w:cs="Georgia" w:eastAsia="Georgia" w:hAnsi="Georgia"/>
          <w:b/>
          <w:bCs/>
          <w:color w:val="2D5016"/>
          <w:spacing w:val="80"/>
          <w:sz w:val="22"/>
          <w:szCs w:val="22"/>
        </w:rPr>
        <w:t xml:space="preserve">IN PRACTICE</w:t>
      </w:r>
    </w:p>
    <w:p>
      <w:pPr>
        <w:spacing w:before="80" w:after="80"/>
        <w:jc w:val="left"/>
      </w:pPr>
      <w:r>
        <w:rPr>
          <w:rFonts w:ascii="Georgia" w:cs="Georgia" w:eastAsia="Georgia" w:hAnsi="Georgia"/>
          <w:i/>
          <w:iCs/>
          <w:color w:val="333333"/>
          <w:sz w:val="22"/>
          <w:szCs w:val="22"/>
        </w:rPr>
        <w:t xml:space="preserve">A youth leader asks: “How did our organization navigate past funding crises?”</w:t>
      </w:r>
    </w:p>
    <w:p>
      <w:pPr>
        <w:spacing w:before="80" w:after="80"/>
        <w:jc w:val="left"/>
      </w:pPr>
      <w:r>
        <w:rPr>
          <w:rFonts w:ascii="Georgia" w:cs="Georgia" w:eastAsia="Georgia" w:hAnsi="Georgia"/>
          <w:color w:val="333333"/>
          <w:sz w:val="22"/>
          <w:szCs w:val="22"/>
        </w:rPr>
        <w:t xml:space="preserve">Guardian retrieves archived meeting notes, audio recordings, prior strategic decisions, and governance principles—returning a contextual summary grounded in real community experience, not generic advice.</w:t>
      </w:r>
    </w:p>
    <w:p>
      <w:pPr>
        <w:spacing w:before="120" w:after="80"/>
        <w:jc w:val="left"/>
      </w:pPr>
      <w:r>
        <w:rPr>
          <w:rFonts w:ascii="Georgia" w:cs="Georgia" w:eastAsia="Georgia" w:hAnsi="Georgia"/>
          <w:i/>
          <w:iCs/>
          <w:color w:val="2D5016"/>
          <w:sz w:val="22"/>
          <w:szCs w:val="22"/>
        </w:rPr>
        <w:t xml:space="preserve">The wisdom of the past, available to guide the future.</w:t>
      </w:r>
    </w:p>
    <w:p>
      <w:pPr>
        <w:spacing w:before="300" w:after="120"/>
      </w:pPr>
      <w:r>
        <w:rPr>
          <w:rFonts w:ascii="Georgia" w:cs="Georgia" w:eastAsia="Georgia" w:hAnsi="Georgia"/>
          <w:b/>
          <w:bCs/>
          <w:color w:val="2D5016"/>
          <w:spacing w:val="80"/>
          <w:sz w:val="22"/>
          <w:szCs w:val="22"/>
        </w:rPr>
        <w:t xml:space="preserve">INITIAL DEPLOYMENT</w:t>
      </w:r>
    </w:p>
    <w:p>
      <w:pPr>
        <w:spacing w:before="80" w:after="80"/>
        <w:jc w:val="left"/>
      </w:pPr>
      <w:r>
        <w:rPr>
          <w:rFonts w:ascii="Georgia" w:cs="Georgia" w:eastAsia="Georgia" w:hAnsi="Georgia"/>
          <w:color w:val="333333"/>
          <w:sz w:val="22"/>
          <w:szCs w:val="22"/>
        </w:rPr>
        <w:t xml:space="preserve">Guardian pilots are being established with Indigenous-led communities in Latin America and East Africa, focused on ecosystem restoration, community governance, cultural renewal, and long-term resilience. The architecture is place-based by design and scalable by nature.</w:t>
      </w:r>
    </w:p>
    <w:p>
      <w:pPr>
        <w:spacing w:before="300" w:after="120"/>
      </w:pPr>
      <w:r>
        <w:rPr>
          <w:rFonts w:ascii="Georgia" w:cs="Georgia" w:eastAsia="Georgia" w:hAnsi="Georgia"/>
          <w:b/>
          <w:bCs/>
          <w:color w:val="2D5016"/>
          <w:spacing w:val="80"/>
          <w:sz w:val="22"/>
          <w:szCs w:val="22"/>
        </w:rPr>
        <w:t xml:space="preserve">FOR IMPACT INVESTORS</w:t>
      </w:r>
    </w:p>
    <w:p>
      <w:pPr>
        <w:spacing w:before="80" w:after="80"/>
        <w:jc w:val="left"/>
      </w:pPr>
      <w:r>
        <w:rPr>
          <w:rFonts w:ascii="Georgia" w:cs="Georgia" w:eastAsia="Georgia" w:hAnsi="Georgia"/>
          <w:color w:val="333333"/>
          <w:sz w:val="22"/>
          <w:szCs w:val="22"/>
        </w:rPr>
        <w:t xml:space="preserve">Traditional investments fund projects. Guardian infrastructure funds the capacity to sustain change. It enables communities to retain knowledge, make aligned decisions, reduce dependency, and maintain continuity across generations.</w:t>
      </w:r>
    </w:p>
    <w:p>
      <w:pPr>
        <w:spacing w:before="120" w:after="80"/>
        <w:jc w:val="left"/>
      </w:pPr>
      <w:r>
        <w:rPr>
          <w:rFonts w:ascii="Georgia" w:cs="Georgia" w:eastAsia="Georgia" w:hAnsi="Georgia"/>
          <w:b/>
          <w:bCs/>
          <w:i w:val="false"/>
          <w:iCs w:val="false"/>
          <w:color w:val="2D5016"/>
          <w:sz w:val="22"/>
          <w:szCs w:val="22"/>
        </w:rPr>
        <w:t xml:space="preserve">This is an investment in resilience—not just outcomes.</w:t>
      </w:r>
    </w:p>
    <w:p>
      <w:pPr>
        <w:pBdr>
          <w:bottom w:val="single" w:color="B8860B" w:sz="4" w:space="1"/>
        </w:pBdr>
        <w:spacing w:before="200" w:after="200"/>
      </w:pPr>
    </w:p>
    <w:p>
      <w:pPr>
        <w:spacing w:before="200" w:after="80"/>
        <w:jc w:val="center"/>
      </w:pPr>
      <w:r>
        <w:rPr>
          <w:rFonts w:ascii="Georgia" w:cs="Georgia" w:eastAsia="Georgia" w:hAnsi="Georgia"/>
          <w:i/>
          <w:iCs/>
          <w:color w:val="2D5016"/>
          <w:sz w:val="24"/>
          <w:szCs w:val="24"/>
        </w:rPr>
        <w:t xml:space="preserve">Sustainability maintains. Regeneration restores.</w:t>
      </w:r>
    </w:p>
    <w:p>
      <w:pPr>
        <w:spacing w:before="80" w:after="80"/>
        <w:jc w:val="center"/>
      </w:pPr>
      <w:r>
        <w:rPr>
          <w:rFonts w:ascii="Georgia" w:cs="Georgia" w:eastAsia="Georgia" w:hAnsi="Georgia"/>
          <w:color w:val="6B4226"/>
          <w:sz w:val="20"/>
          <w:szCs w:val="20"/>
        </w:rPr>
        <w:t xml:space="preserve">Guardian provides communities with the foundation to remember,</w:t>
      </w:r>
    </w:p>
    <w:p>
      <w:pPr>
        <w:spacing w:before="0" w:after="80"/>
        <w:jc w:val="center"/>
      </w:pPr>
      <w:r>
        <w:rPr>
          <w:rFonts w:ascii="Georgia" w:cs="Georgia" w:eastAsia="Georgia" w:hAnsi="Georgia"/>
          <w:color w:val="6B4226"/>
          <w:sz w:val="20"/>
          <w:szCs w:val="20"/>
        </w:rPr>
        <w:t xml:space="preserve">coordinate, and act together over time.</w:t>
      </w:r>
    </w:p>
    <w:p>
      <w:pPr>
        <w:pBdr>
          <w:bottom w:val="single" w:color="B8860B" w:sz="4" w:space="1"/>
        </w:pBdr>
        <w:spacing w:before="200" w:after="200"/>
      </w:pPr>
    </w:p>
    <w:p>
      <w:pPr>
        <w:spacing w:before="200" w:after="40"/>
        <w:jc w:val="center"/>
      </w:pPr>
      <w:r>
        <w:rPr>
          <w:rFonts w:ascii="Georgia" w:cs="Georgia" w:eastAsia="Georgia" w:hAnsi="Georgia"/>
          <w:b/>
          <w:bCs/>
          <w:color w:val="2D5016"/>
          <w:sz w:val="20"/>
          <w:szCs w:val="20"/>
        </w:rPr>
        <w:t xml:space="preserve">Guardian Sovereign Stewardship Initiative</w:t>
      </w:r>
    </w:p>
    <w:p>
      <w:pPr>
        <w:spacing w:before="40" w:after="40"/>
        <w:jc w:val="center"/>
      </w:pPr>
      <w:r>
        <w:rPr>
          <w:rFonts w:ascii="Georgia" w:cs="Georgia" w:eastAsia="Georgia" w:hAnsi="Georgia"/>
          <w:color w:val="8B9A6B"/>
          <w:sz w:val="18"/>
          <w:szCs w:val="18"/>
        </w:rPr>
        <w:t xml:space="preserve">Prepared for FLII 2026  •  Regeneration  •  Stewardship  •  Cultural Continuity</w:t>
      </w:r>
    </w:p>
    <w:p>
      <w:pPr>
        <w:spacing w:before="80" w:after="0"/>
        <w:jc w:val="center"/>
      </w:pPr>
      <w:r>
        <w:rPr>
          <w:rFonts w:ascii="Georgia" w:cs="Georgia" w:eastAsia="Georgia" w:hAnsi="Georgia"/>
          <w:i/>
          <w:iCs/>
          <w:color w:val="6B4226"/>
          <w:sz w:val="18"/>
          <w:szCs w:val="18"/>
        </w:rPr>
        <w:t xml:space="preserve">Contact: [Name / Email / Meeting Link]</w:t>
      </w:r>
    </w:p>
    <w:sectPr>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2026-02-19T15:39:55.913Z</dcterms:created>
  <dcterms:modified xsi:type="dcterms:W3CDTF">2026-02-19T15:39:55.914Z</dcterms:modified>
</cp:coreProperties>
</file>

<file path=docProps/custom.xml><?xml version="1.0" encoding="utf-8"?>
<Properties xmlns="http://schemas.openxmlformats.org/officeDocument/2006/custom-properties" xmlns:vt="http://schemas.openxmlformats.org/officeDocument/2006/docPropsVTypes"/>
</file>