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1BE1D6" w14:textId="77777777" w:rsidR="00B76AFA" w:rsidRPr="00BC7669" w:rsidRDefault="00B76AFA" w:rsidP="00B76AFA">
      <w:pPr>
        <w:pStyle w:val="Default"/>
        <w:spacing w:after="60" w:line="276" w:lineRule="auto"/>
        <w:rPr>
          <w:b/>
          <w:bCs/>
          <w:color w:val="FFFFFF" w:themeColor="background1"/>
          <w:sz w:val="22"/>
          <w:szCs w:val="14"/>
        </w:rPr>
      </w:pPr>
      <w:r w:rsidRPr="00BC7669">
        <w:rPr>
          <w:b/>
          <w:bCs/>
          <w:color w:val="FFFFFF" w:themeColor="background1"/>
          <w:sz w:val="22"/>
          <w:szCs w:val="14"/>
        </w:rPr>
        <w:t>\ReadConfirmation1\</w:t>
      </w:r>
      <w:r w:rsidRPr="00BC7669">
        <w:rPr>
          <w:b/>
          <w:bCs/>
          <w:color w:val="FFFFFF" w:themeColor="background1"/>
          <w:sz w:val="22"/>
          <w:szCs w:val="14"/>
        </w:rPr>
        <w:tab/>
      </w:r>
    </w:p>
    <w:p w14:paraId="5EB38EA8" w14:textId="77777777" w:rsidR="00B76AFA" w:rsidRPr="00BC7669" w:rsidRDefault="00B76AFA" w:rsidP="00B76AFA">
      <w:pPr>
        <w:pStyle w:val="Default"/>
        <w:spacing w:after="60" w:line="276" w:lineRule="auto"/>
        <w:rPr>
          <w:b/>
          <w:bCs/>
          <w:color w:val="FFFFFF" w:themeColor="background1"/>
          <w:sz w:val="22"/>
          <w:szCs w:val="14"/>
        </w:rPr>
      </w:pPr>
      <w:r w:rsidRPr="00BC7669">
        <w:rPr>
          <w:b/>
          <w:bCs/>
          <w:color w:val="FFFFFF" w:themeColor="background1"/>
          <w:sz w:val="22"/>
          <w:szCs w:val="14"/>
        </w:rPr>
        <w:t>\ReadConfirmation2\</w:t>
      </w:r>
    </w:p>
    <w:p w14:paraId="63DF0526" w14:textId="77777777" w:rsidR="00EF5D4E" w:rsidRPr="00B1763A" w:rsidRDefault="00B037C4" w:rsidP="00EF5D4E">
      <w:pPr>
        <w:pStyle w:val="Default"/>
        <w:spacing w:after="60" w:line="276" w:lineRule="auto"/>
        <w:jc w:val="center"/>
        <w:rPr>
          <w:b/>
          <w:bCs/>
          <w:sz w:val="36"/>
          <w:szCs w:val="19"/>
        </w:rPr>
      </w:pPr>
      <w:r w:rsidRPr="00B1763A">
        <w:rPr>
          <w:b/>
          <w:bCs/>
          <w:sz w:val="32"/>
          <w:szCs w:val="19"/>
        </w:rPr>
        <w:t>Credit Guide</w:t>
      </w:r>
    </w:p>
    <w:p w14:paraId="63DF0527" w14:textId="77777777" w:rsidR="00EF5D4E" w:rsidRDefault="00EF5D4E">
      <w:pPr>
        <w:pStyle w:val="Default"/>
        <w:spacing w:after="60" w:line="276" w:lineRule="auto"/>
        <w:rPr>
          <w:b/>
          <w:bCs/>
          <w:sz w:val="19"/>
          <w:szCs w:val="19"/>
        </w:rPr>
      </w:pPr>
    </w:p>
    <w:p w14:paraId="63DF0528" w14:textId="77777777" w:rsidR="00EF5D4E" w:rsidRDefault="00EF5D4E">
      <w:pPr>
        <w:pStyle w:val="Default"/>
        <w:spacing w:after="60" w:line="276" w:lineRule="auto"/>
        <w:rPr>
          <w:b/>
          <w:bCs/>
          <w:sz w:val="19"/>
          <w:szCs w:val="19"/>
        </w:rPr>
        <w:sectPr w:rsidR="00EF5D4E" w:rsidSect="00AC3246">
          <w:headerReference w:type="default" r:id="rId9"/>
          <w:footerReference w:type="default" r:id="rId10"/>
          <w:pgSz w:w="11906" w:h="16838"/>
          <w:pgMar w:top="1418" w:right="720" w:bottom="568" w:left="720" w:header="426" w:footer="60" w:gutter="0"/>
          <w:cols w:space="708"/>
          <w:docGrid w:linePitch="360"/>
        </w:sectPr>
      </w:pPr>
    </w:p>
    <w:p w14:paraId="63DF0529" w14:textId="77777777" w:rsidR="002E15B0" w:rsidRDefault="00B037C4" w:rsidP="00E57DE9">
      <w:pPr>
        <w:pStyle w:val="Default"/>
        <w:spacing w:after="120"/>
        <w:rPr>
          <w:sz w:val="19"/>
          <w:szCs w:val="19"/>
        </w:rPr>
      </w:pPr>
      <w:r>
        <w:rPr>
          <w:b/>
          <w:bCs/>
          <w:sz w:val="19"/>
          <w:szCs w:val="19"/>
        </w:rPr>
        <w:t>About us</w:t>
      </w:r>
    </w:p>
    <w:p w14:paraId="63DF052A" w14:textId="7C173F14" w:rsidR="00C94BA2" w:rsidRDefault="00B037C4" w:rsidP="00E57DE9">
      <w:pPr>
        <w:pStyle w:val="Default"/>
        <w:spacing w:after="120"/>
        <w:rPr>
          <w:sz w:val="19"/>
          <w:szCs w:val="19"/>
        </w:rPr>
      </w:pPr>
      <w:r w:rsidRPr="00822E99">
        <w:rPr>
          <w:sz w:val="19"/>
          <w:szCs w:val="19"/>
        </w:rPr>
        <w:t xml:space="preserve">This document provides information about the loans </w:t>
      </w:r>
      <w:r>
        <w:rPr>
          <w:sz w:val="19"/>
          <w:szCs w:val="19"/>
        </w:rPr>
        <w:t>and credit services provided by BC Securities</w:t>
      </w:r>
      <w:r>
        <w:rPr>
          <w:color w:val="auto"/>
          <w:sz w:val="19"/>
          <w:szCs w:val="19"/>
        </w:rPr>
        <w:t xml:space="preserve"> Pty </w:t>
      </w:r>
      <w:r w:rsidR="00F644EA">
        <w:rPr>
          <w:color w:val="auto"/>
          <w:sz w:val="19"/>
          <w:szCs w:val="19"/>
        </w:rPr>
        <w:t>Ltd</w:t>
      </w:r>
      <w:r>
        <w:rPr>
          <w:color w:val="auto"/>
          <w:sz w:val="19"/>
          <w:szCs w:val="19"/>
        </w:rPr>
        <w:t xml:space="preserve"> (ACN </w:t>
      </w:r>
      <w:r w:rsidRPr="00EF5D4E">
        <w:rPr>
          <w:color w:val="auto"/>
          <w:sz w:val="19"/>
          <w:szCs w:val="19"/>
        </w:rPr>
        <w:t>609 155 688</w:t>
      </w:r>
      <w:r>
        <w:rPr>
          <w:color w:val="auto"/>
          <w:sz w:val="19"/>
          <w:szCs w:val="19"/>
        </w:rPr>
        <w:t xml:space="preserve">) </w:t>
      </w:r>
      <w:r>
        <w:rPr>
          <w:sz w:val="19"/>
          <w:szCs w:val="19"/>
        </w:rPr>
        <w:t>Australian Credit Licence Number 482240 of Level 1, 274 Coventry Street, South Melbourne VIC 3205</w:t>
      </w:r>
      <w:r w:rsidRPr="00822E99">
        <w:rPr>
          <w:sz w:val="19"/>
          <w:szCs w:val="19"/>
        </w:rPr>
        <w:t>.  We are licensed to provide loans under the National Consumer Credit Protection Act 2009 (</w:t>
      </w:r>
      <w:r w:rsidRPr="00583B36">
        <w:rPr>
          <w:b/>
          <w:sz w:val="19"/>
          <w:szCs w:val="19"/>
        </w:rPr>
        <w:t>NCCP Act</w:t>
      </w:r>
      <w:r w:rsidRPr="00822E99">
        <w:rPr>
          <w:sz w:val="19"/>
          <w:szCs w:val="19"/>
        </w:rPr>
        <w:t>).  The NCCP Act regulates the activity of lending, leasing, and finance broking.</w:t>
      </w:r>
    </w:p>
    <w:p w14:paraId="63DF052B" w14:textId="3938E8C9" w:rsidR="002E15B0" w:rsidRDefault="00B037C4" w:rsidP="00E57DE9">
      <w:pPr>
        <w:pStyle w:val="Default"/>
        <w:spacing w:after="120"/>
        <w:rPr>
          <w:sz w:val="19"/>
          <w:szCs w:val="19"/>
        </w:rPr>
      </w:pPr>
      <w:r>
        <w:rPr>
          <w:sz w:val="19"/>
          <w:szCs w:val="19"/>
        </w:rPr>
        <w:t xml:space="preserve">We are the manager of loans provided by BC Invest Loans Pty </w:t>
      </w:r>
      <w:r w:rsidR="00F644EA">
        <w:rPr>
          <w:color w:val="auto"/>
          <w:sz w:val="19"/>
          <w:szCs w:val="19"/>
        </w:rPr>
        <w:t>Ltd</w:t>
      </w:r>
      <w:r>
        <w:rPr>
          <w:color w:val="auto"/>
          <w:sz w:val="19"/>
          <w:szCs w:val="19"/>
        </w:rPr>
        <w:t xml:space="preserve"> </w:t>
      </w:r>
      <w:r>
        <w:rPr>
          <w:sz w:val="19"/>
          <w:szCs w:val="19"/>
        </w:rPr>
        <w:t>(</w:t>
      </w:r>
      <w:r w:rsidRPr="0020042F">
        <w:rPr>
          <w:sz w:val="19"/>
          <w:szCs w:val="19"/>
        </w:rPr>
        <w:t xml:space="preserve">ACN </w:t>
      </w:r>
      <w:r>
        <w:rPr>
          <w:sz w:val="19"/>
          <w:szCs w:val="19"/>
        </w:rPr>
        <w:t xml:space="preserve">646 785 211). </w:t>
      </w:r>
      <w:r>
        <w:rPr>
          <w:bCs/>
          <w:sz w:val="19"/>
          <w:szCs w:val="19"/>
        </w:rPr>
        <w:t xml:space="preserve">BC Invest Loans Pty </w:t>
      </w:r>
      <w:r w:rsidR="00F644EA">
        <w:rPr>
          <w:bCs/>
          <w:sz w:val="19"/>
          <w:szCs w:val="19"/>
        </w:rPr>
        <w:t>Ltd</w:t>
      </w:r>
      <w:r>
        <w:rPr>
          <w:bCs/>
          <w:sz w:val="19"/>
          <w:szCs w:val="19"/>
        </w:rPr>
        <w:t xml:space="preserve"> is </w:t>
      </w:r>
      <w:r w:rsidRPr="00E57DE9">
        <w:rPr>
          <w:bCs/>
          <w:sz w:val="19"/>
          <w:szCs w:val="19"/>
        </w:rPr>
        <w:t xml:space="preserve">a trustee company who is the lender of record </w:t>
      </w:r>
      <w:r>
        <w:rPr>
          <w:bCs/>
          <w:sz w:val="19"/>
          <w:szCs w:val="19"/>
        </w:rPr>
        <w:t>in your loan agreement and mortgage of land</w:t>
      </w:r>
      <w:r w:rsidRPr="00E57DE9">
        <w:rPr>
          <w:bCs/>
          <w:sz w:val="19"/>
          <w:szCs w:val="19"/>
        </w:rPr>
        <w:t>.</w:t>
      </w:r>
      <w:r>
        <w:rPr>
          <w:bCs/>
          <w:sz w:val="19"/>
          <w:szCs w:val="19"/>
        </w:rPr>
        <w:t xml:space="preserve"> </w:t>
      </w:r>
      <w:r>
        <w:rPr>
          <w:sz w:val="19"/>
          <w:szCs w:val="19"/>
        </w:rPr>
        <w:t xml:space="preserve">This means that although your lender is shown as BC Invest Loans Pty </w:t>
      </w:r>
      <w:r>
        <w:rPr>
          <w:color w:val="auto"/>
          <w:sz w:val="19"/>
          <w:szCs w:val="19"/>
        </w:rPr>
        <w:t>Ltd</w:t>
      </w:r>
      <w:r>
        <w:rPr>
          <w:sz w:val="19"/>
          <w:szCs w:val="19"/>
        </w:rPr>
        <w:t>, you will deal with us in relation to your loan.</w:t>
      </w:r>
    </w:p>
    <w:p w14:paraId="63DF052C" w14:textId="77777777" w:rsidR="00857903" w:rsidRPr="007345A5" w:rsidRDefault="00B037C4" w:rsidP="00E57DE9">
      <w:pPr>
        <w:pStyle w:val="Default"/>
        <w:spacing w:after="120"/>
        <w:rPr>
          <w:b/>
          <w:bCs/>
          <w:sz w:val="8"/>
          <w:szCs w:val="19"/>
        </w:rPr>
      </w:pPr>
      <w:r>
        <w:rPr>
          <w:sz w:val="19"/>
          <w:szCs w:val="19"/>
        </w:rPr>
        <w:t>If your loan is introduced to us by a mortgage manager, that mortgage manager may manage your loan for us.</w:t>
      </w:r>
    </w:p>
    <w:p w14:paraId="63DF052D" w14:textId="77777777" w:rsidR="002E15B0" w:rsidRDefault="00B037C4" w:rsidP="00E57DE9">
      <w:pPr>
        <w:pStyle w:val="Default"/>
        <w:spacing w:after="120"/>
        <w:rPr>
          <w:sz w:val="19"/>
          <w:szCs w:val="19"/>
        </w:rPr>
      </w:pPr>
      <w:r w:rsidRPr="00822E99">
        <w:rPr>
          <w:b/>
          <w:bCs/>
          <w:sz w:val="19"/>
          <w:szCs w:val="19"/>
        </w:rPr>
        <w:t>We</w:t>
      </w:r>
      <w:r>
        <w:rPr>
          <w:b/>
          <w:bCs/>
          <w:sz w:val="19"/>
          <w:szCs w:val="19"/>
        </w:rPr>
        <w:t xml:space="preserve"> will need information from </w:t>
      </w:r>
      <w:proofErr w:type="gramStart"/>
      <w:r>
        <w:rPr>
          <w:b/>
          <w:bCs/>
          <w:sz w:val="19"/>
          <w:szCs w:val="19"/>
        </w:rPr>
        <w:t>you</w:t>
      </w:r>
      <w:proofErr w:type="gramEnd"/>
    </w:p>
    <w:p w14:paraId="63DF052E" w14:textId="77777777" w:rsidR="00822E99" w:rsidRPr="00822E99" w:rsidRDefault="00B037C4" w:rsidP="00E57DE9">
      <w:pPr>
        <w:pStyle w:val="Default"/>
        <w:spacing w:after="120"/>
        <w:rPr>
          <w:sz w:val="19"/>
          <w:szCs w:val="19"/>
        </w:rPr>
      </w:pPr>
      <w:r w:rsidRPr="00822E99">
        <w:rPr>
          <w:sz w:val="19"/>
          <w:szCs w:val="19"/>
        </w:rPr>
        <w:t xml:space="preserve">Under the NCCP Act, we are obliged to ensure that any loan, lease, or principal increase to a loan we arrange for you is not unsuitable.  To decide this, we may need to ask you some questions </w:t>
      </w:r>
      <w:proofErr w:type="gramStart"/>
      <w:r w:rsidRPr="00822E99">
        <w:rPr>
          <w:sz w:val="19"/>
          <w:szCs w:val="19"/>
        </w:rPr>
        <w:t>in order to</w:t>
      </w:r>
      <w:proofErr w:type="gramEnd"/>
      <w:r w:rsidRPr="00822E99">
        <w:rPr>
          <w:sz w:val="19"/>
          <w:szCs w:val="19"/>
        </w:rPr>
        <w:t xml:space="preserve"> assess whether the loan or lease is not unsuitable.  The law requires us to:</w:t>
      </w:r>
    </w:p>
    <w:p w14:paraId="63DF052F" w14:textId="77777777" w:rsidR="00822E99" w:rsidRPr="00822E99" w:rsidRDefault="00B037C4" w:rsidP="00E57DE9">
      <w:pPr>
        <w:pStyle w:val="Default"/>
        <w:spacing w:after="120"/>
        <w:ind w:left="426" w:hanging="425"/>
        <w:rPr>
          <w:sz w:val="19"/>
          <w:szCs w:val="19"/>
        </w:rPr>
      </w:pPr>
      <w:r w:rsidRPr="00822E99">
        <w:rPr>
          <w:sz w:val="19"/>
          <w:szCs w:val="19"/>
        </w:rPr>
        <w:t>•</w:t>
      </w:r>
      <w:r w:rsidRPr="00822E99">
        <w:rPr>
          <w:sz w:val="19"/>
          <w:szCs w:val="19"/>
        </w:rPr>
        <w:tab/>
        <w:t>make reasonable inquiries about your requirements and objectives; and</w:t>
      </w:r>
    </w:p>
    <w:p w14:paraId="63DF0530" w14:textId="77777777" w:rsidR="00822E99" w:rsidRPr="00822E99" w:rsidRDefault="00B037C4" w:rsidP="00E57DE9">
      <w:pPr>
        <w:pStyle w:val="Default"/>
        <w:spacing w:after="120"/>
        <w:ind w:left="426" w:hanging="425"/>
        <w:rPr>
          <w:sz w:val="19"/>
          <w:szCs w:val="19"/>
        </w:rPr>
      </w:pPr>
      <w:r w:rsidRPr="00822E99">
        <w:rPr>
          <w:sz w:val="19"/>
          <w:szCs w:val="19"/>
        </w:rPr>
        <w:t>•</w:t>
      </w:r>
      <w:r w:rsidRPr="00822E99">
        <w:rPr>
          <w:sz w:val="19"/>
          <w:szCs w:val="19"/>
        </w:rPr>
        <w:tab/>
        <w:t>make reasonable inquiries about your financial situation; and</w:t>
      </w:r>
    </w:p>
    <w:p w14:paraId="63DF0531" w14:textId="77777777" w:rsidR="00822E99" w:rsidRPr="00822E99" w:rsidRDefault="00B037C4" w:rsidP="00E57DE9">
      <w:pPr>
        <w:pStyle w:val="Default"/>
        <w:spacing w:after="120"/>
        <w:ind w:left="426" w:hanging="425"/>
        <w:rPr>
          <w:sz w:val="19"/>
          <w:szCs w:val="19"/>
        </w:rPr>
      </w:pPr>
      <w:r w:rsidRPr="00822E99">
        <w:rPr>
          <w:sz w:val="19"/>
          <w:szCs w:val="19"/>
        </w:rPr>
        <w:t>•</w:t>
      </w:r>
      <w:r w:rsidRPr="00822E99">
        <w:rPr>
          <w:sz w:val="19"/>
          <w:szCs w:val="19"/>
        </w:rPr>
        <w:tab/>
        <w:t>take reasonable steps to verify that financial situation.</w:t>
      </w:r>
    </w:p>
    <w:p w14:paraId="63DF0532" w14:textId="77777777" w:rsidR="00822E99" w:rsidRPr="00822E99" w:rsidRDefault="00B037C4" w:rsidP="00E57DE9">
      <w:pPr>
        <w:pStyle w:val="Default"/>
        <w:spacing w:after="120"/>
        <w:rPr>
          <w:sz w:val="19"/>
          <w:szCs w:val="19"/>
        </w:rPr>
      </w:pPr>
      <w:r w:rsidRPr="00822E99">
        <w:rPr>
          <w:sz w:val="19"/>
          <w:szCs w:val="19"/>
        </w:rPr>
        <w:t>Credit will be unsuitable if at the time of the assessment, it is likely that at the time the loan is made:</w:t>
      </w:r>
    </w:p>
    <w:p w14:paraId="63DF0533" w14:textId="77777777" w:rsidR="00822E99" w:rsidRPr="00822E99" w:rsidRDefault="00B037C4" w:rsidP="00E57DE9">
      <w:pPr>
        <w:pStyle w:val="Default"/>
        <w:spacing w:after="120"/>
        <w:ind w:left="426" w:hanging="426"/>
        <w:rPr>
          <w:sz w:val="19"/>
          <w:szCs w:val="19"/>
        </w:rPr>
      </w:pPr>
      <w:r w:rsidRPr="00822E99">
        <w:rPr>
          <w:sz w:val="19"/>
          <w:szCs w:val="19"/>
        </w:rPr>
        <w:t>•</w:t>
      </w:r>
      <w:r w:rsidRPr="00822E99">
        <w:rPr>
          <w:sz w:val="19"/>
          <w:szCs w:val="19"/>
        </w:rPr>
        <w:tab/>
        <w:t>you could not pay or could only pay with substantial hardship; or</w:t>
      </w:r>
    </w:p>
    <w:p w14:paraId="63DF0534" w14:textId="77777777" w:rsidR="00822E99" w:rsidRPr="00822E99" w:rsidRDefault="00B037C4" w:rsidP="00E57DE9">
      <w:pPr>
        <w:pStyle w:val="Default"/>
        <w:spacing w:after="120"/>
        <w:ind w:left="426" w:hanging="426"/>
        <w:rPr>
          <w:sz w:val="19"/>
          <w:szCs w:val="19"/>
        </w:rPr>
      </w:pPr>
      <w:r w:rsidRPr="00822E99">
        <w:rPr>
          <w:sz w:val="19"/>
          <w:szCs w:val="19"/>
        </w:rPr>
        <w:t>•</w:t>
      </w:r>
      <w:r w:rsidRPr="00822E99">
        <w:rPr>
          <w:sz w:val="19"/>
          <w:szCs w:val="19"/>
        </w:rPr>
        <w:tab/>
        <w:t xml:space="preserve">the credit will not meet your requirements and objectives. </w:t>
      </w:r>
    </w:p>
    <w:p w14:paraId="63DF0535" w14:textId="77777777" w:rsidR="002E15B0" w:rsidRDefault="00B037C4" w:rsidP="00E57DE9">
      <w:pPr>
        <w:pStyle w:val="Default"/>
        <w:spacing w:after="120"/>
        <w:rPr>
          <w:sz w:val="19"/>
          <w:szCs w:val="19"/>
        </w:rPr>
      </w:pPr>
      <w:r w:rsidRPr="00822E99">
        <w:rPr>
          <w:sz w:val="19"/>
          <w:szCs w:val="19"/>
        </w:rPr>
        <w:t xml:space="preserve">For example, if you can only repay by selling your principal place of residence, it is presumed that the loan will cause substantial hardship unless the contrary is proved.  For this </w:t>
      </w:r>
      <w:proofErr w:type="gramStart"/>
      <w:r w:rsidRPr="00822E99">
        <w:rPr>
          <w:sz w:val="19"/>
          <w:szCs w:val="19"/>
        </w:rPr>
        <w:t>reason</w:t>
      </w:r>
      <w:proofErr w:type="gramEnd"/>
      <w:r w:rsidRPr="00822E99">
        <w:rPr>
          <w:sz w:val="19"/>
          <w:szCs w:val="19"/>
        </w:rPr>
        <w:t xml:space="preserve"> we must ask you to provide a significant amount of information.  It is therefore very important that the information you provide to us is accurate.</w:t>
      </w:r>
    </w:p>
    <w:p w14:paraId="63DF0536" w14:textId="77777777" w:rsidR="00857903" w:rsidRDefault="00B037C4" w:rsidP="00E57DE9">
      <w:pPr>
        <w:pStyle w:val="Default"/>
        <w:spacing w:after="120"/>
        <w:rPr>
          <w:bCs/>
          <w:sz w:val="19"/>
          <w:szCs w:val="19"/>
        </w:rPr>
      </w:pPr>
      <w:r w:rsidRPr="00822E99">
        <w:rPr>
          <w:bCs/>
          <w:sz w:val="19"/>
          <w:szCs w:val="19"/>
        </w:rPr>
        <w:t xml:space="preserve">We must provide you with a copy of our credit assessment of your application if you ask within seven years of the date of the loan contract, lease contract or principal increase.  We are only required to give you a copy of the credit assessment if you </w:t>
      </w:r>
      <w:proofErr w:type="gramStart"/>
      <w:r w:rsidRPr="00822E99">
        <w:rPr>
          <w:bCs/>
          <w:sz w:val="19"/>
          <w:szCs w:val="19"/>
        </w:rPr>
        <w:t>enter into</w:t>
      </w:r>
      <w:proofErr w:type="gramEnd"/>
      <w:r w:rsidRPr="00822E99">
        <w:rPr>
          <w:bCs/>
          <w:sz w:val="19"/>
          <w:szCs w:val="19"/>
        </w:rPr>
        <w:t xml:space="preserve"> a loan or lease contract or the credit limit is increased.</w:t>
      </w:r>
    </w:p>
    <w:p w14:paraId="63DF0537" w14:textId="77777777" w:rsidR="007345A5" w:rsidRPr="007345A5" w:rsidRDefault="007345A5" w:rsidP="00E57DE9">
      <w:pPr>
        <w:pStyle w:val="Default"/>
        <w:spacing w:after="120"/>
        <w:rPr>
          <w:bCs/>
          <w:sz w:val="8"/>
          <w:szCs w:val="19"/>
        </w:rPr>
      </w:pPr>
    </w:p>
    <w:p w14:paraId="63DF0538" w14:textId="77777777" w:rsidR="007345A5" w:rsidRPr="00D16198" w:rsidRDefault="00B037C4" w:rsidP="00E57DE9">
      <w:pPr>
        <w:pStyle w:val="Default"/>
        <w:spacing w:after="120"/>
        <w:rPr>
          <w:b/>
          <w:bCs/>
          <w:sz w:val="19"/>
          <w:szCs w:val="19"/>
        </w:rPr>
      </w:pPr>
      <w:r w:rsidRPr="00D16198">
        <w:rPr>
          <w:b/>
          <w:bCs/>
          <w:sz w:val="19"/>
          <w:szCs w:val="19"/>
        </w:rPr>
        <w:t xml:space="preserve">Other services provided by </w:t>
      </w:r>
      <w:proofErr w:type="gramStart"/>
      <w:r w:rsidRPr="00D16198">
        <w:rPr>
          <w:b/>
          <w:bCs/>
          <w:sz w:val="19"/>
          <w:szCs w:val="19"/>
        </w:rPr>
        <w:t>us</w:t>
      </w:r>
      <w:proofErr w:type="gramEnd"/>
    </w:p>
    <w:p w14:paraId="63DF0539" w14:textId="77777777" w:rsidR="00E57DE9" w:rsidRPr="00E57DE9" w:rsidRDefault="00B037C4" w:rsidP="00E57DE9">
      <w:pPr>
        <w:pStyle w:val="Default"/>
        <w:spacing w:after="120"/>
        <w:rPr>
          <w:bCs/>
          <w:sz w:val="19"/>
          <w:szCs w:val="19"/>
        </w:rPr>
      </w:pPr>
      <w:r w:rsidRPr="00D16198">
        <w:rPr>
          <w:bCs/>
          <w:sz w:val="19"/>
          <w:szCs w:val="19"/>
        </w:rPr>
        <w:t>We also provide funding for mortgage managers to provide loans to you.  Our mortgage managers market and manage loans for us under a written agreement.</w:t>
      </w:r>
    </w:p>
    <w:p w14:paraId="63DF053A" w14:textId="77777777" w:rsidR="00E57DE9" w:rsidRDefault="00E57DE9" w:rsidP="00E57DE9">
      <w:pPr>
        <w:pStyle w:val="Default"/>
        <w:spacing w:after="120"/>
        <w:rPr>
          <w:bCs/>
          <w:sz w:val="12"/>
          <w:szCs w:val="19"/>
        </w:rPr>
      </w:pPr>
    </w:p>
    <w:p w14:paraId="63DF053B" w14:textId="77777777" w:rsidR="00503B39" w:rsidRDefault="00503B39" w:rsidP="00E57DE9">
      <w:pPr>
        <w:pStyle w:val="Default"/>
        <w:spacing w:after="120"/>
        <w:rPr>
          <w:bCs/>
          <w:sz w:val="12"/>
          <w:szCs w:val="19"/>
        </w:rPr>
      </w:pPr>
    </w:p>
    <w:p w14:paraId="63DF053C" w14:textId="77777777" w:rsidR="00E57DE9" w:rsidRPr="00E57DE9" w:rsidRDefault="00B037C4" w:rsidP="00E57DE9">
      <w:pPr>
        <w:pStyle w:val="Default"/>
        <w:spacing w:after="120"/>
        <w:rPr>
          <w:b/>
          <w:bCs/>
          <w:sz w:val="19"/>
          <w:szCs w:val="19"/>
        </w:rPr>
      </w:pPr>
      <w:r w:rsidRPr="00E57DE9">
        <w:rPr>
          <w:b/>
          <w:bCs/>
          <w:sz w:val="19"/>
          <w:szCs w:val="19"/>
        </w:rPr>
        <w:t>Our internal dispute resolution scheme</w:t>
      </w:r>
    </w:p>
    <w:p w14:paraId="63DF053D" w14:textId="77777777" w:rsidR="00E57DE9" w:rsidRPr="00E57DE9" w:rsidRDefault="00B037C4" w:rsidP="00E57DE9">
      <w:pPr>
        <w:pStyle w:val="Default"/>
        <w:spacing w:after="120"/>
        <w:rPr>
          <w:bCs/>
          <w:sz w:val="19"/>
          <w:szCs w:val="19"/>
        </w:rPr>
      </w:pPr>
      <w:r w:rsidRPr="00E57DE9">
        <w:rPr>
          <w:bCs/>
          <w:sz w:val="19"/>
          <w:szCs w:val="19"/>
        </w:rPr>
        <w:t>We hope you are delighted with our services, but if you have any complaints you should notify us by contacting our Complaints Officer by</w:t>
      </w:r>
      <w:r>
        <w:rPr>
          <w:bCs/>
          <w:sz w:val="19"/>
          <w:szCs w:val="19"/>
        </w:rPr>
        <w:t xml:space="preserve"> telephone on +61 3 8533 2488</w:t>
      </w:r>
      <w:r w:rsidRPr="00E57DE9">
        <w:rPr>
          <w:bCs/>
          <w:sz w:val="19"/>
          <w:szCs w:val="19"/>
        </w:rPr>
        <w:t>;</w:t>
      </w:r>
      <w:r>
        <w:rPr>
          <w:bCs/>
          <w:sz w:val="19"/>
          <w:szCs w:val="19"/>
        </w:rPr>
        <w:t xml:space="preserve"> by email on </w:t>
      </w:r>
      <w:hyperlink r:id="rId11" w:history="1">
        <w:r w:rsidRPr="006C42AD">
          <w:rPr>
            <w:rStyle w:val="Hyperlink"/>
            <w:bCs/>
            <w:sz w:val="19"/>
            <w:szCs w:val="19"/>
          </w:rPr>
          <w:t>info@bcinvest.co</w:t>
        </w:r>
      </w:hyperlink>
      <w:r>
        <w:rPr>
          <w:bCs/>
          <w:sz w:val="19"/>
          <w:szCs w:val="19"/>
        </w:rPr>
        <w:t>;</w:t>
      </w:r>
      <w:r w:rsidRPr="00E57DE9">
        <w:rPr>
          <w:bCs/>
          <w:sz w:val="19"/>
          <w:szCs w:val="19"/>
        </w:rPr>
        <w:t xml:space="preserve"> or </w:t>
      </w:r>
      <w:r>
        <w:rPr>
          <w:bCs/>
          <w:sz w:val="19"/>
          <w:szCs w:val="19"/>
        </w:rPr>
        <w:t>in w</w:t>
      </w:r>
      <w:r w:rsidRPr="00E57DE9">
        <w:rPr>
          <w:bCs/>
          <w:sz w:val="19"/>
          <w:szCs w:val="19"/>
        </w:rPr>
        <w:t xml:space="preserve">riting to </w:t>
      </w:r>
      <w:r>
        <w:rPr>
          <w:bCs/>
          <w:sz w:val="19"/>
          <w:szCs w:val="19"/>
        </w:rPr>
        <w:t>Level 1, 274 Coventry Street, South Melbourne VIC 3205</w:t>
      </w:r>
      <w:r w:rsidRPr="00E57DE9">
        <w:rPr>
          <w:bCs/>
          <w:sz w:val="19"/>
          <w:szCs w:val="19"/>
        </w:rPr>
        <w:t>; or by speaking to any representative of our business who will refer you to the Complaints Officer, details of whom are shown above.</w:t>
      </w:r>
    </w:p>
    <w:p w14:paraId="63DF053E" w14:textId="77777777" w:rsidR="00E57DE9" w:rsidRPr="00E57DE9" w:rsidRDefault="00B037C4" w:rsidP="00E57DE9">
      <w:pPr>
        <w:pStyle w:val="Default"/>
        <w:spacing w:after="120"/>
        <w:rPr>
          <w:bCs/>
          <w:sz w:val="19"/>
          <w:szCs w:val="19"/>
        </w:rPr>
      </w:pPr>
      <w:r w:rsidRPr="00E57DE9">
        <w:rPr>
          <w:bCs/>
          <w:sz w:val="19"/>
          <w:szCs w:val="19"/>
        </w:rPr>
        <w:t xml:space="preserve">You should explain the details of your complaint as clearly as you can.  You may do this verbally or in writing.  When we receive a complaint, we will attempt to resolve it promptly.  We hope that in this way we will stop any unnecessary and inappropriate escalation of minor complaints.  </w:t>
      </w:r>
    </w:p>
    <w:p w14:paraId="63DF053F" w14:textId="77777777" w:rsidR="00E12B52" w:rsidRPr="007345A5" w:rsidRDefault="00E12B52" w:rsidP="00E57DE9">
      <w:pPr>
        <w:pStyle w:val="Default"/>
        <w:spacing w:after="120"/>
        <w:rPr>
          <w:b/>
          <w:bCs/>
          <w:sz w:val="8"/>
          <w:szCs w:val="19"/>
        </w:rPr>
      </w:pPr>
    </w:p>
    <w:p w14:paraId="63DF0540" w14:textId="77777777" w:rsidR="00E57DE9" w:rsidRPr="00E57DE9" w:rsidRDefault="00B037C4" w:rsidP="00E57DE9">
      <w:pPr>
        <w:pStyle w:val="Default"/>
        <w:spacing w:after="120"/>
        <w:rPr>
          <w:b/>
          <w:bCs/>
          <w:sz w:val="19"/>
          <w:szCs w:val="19"/>
        </w:rPr>
      </w:pPr>
      <w:r w:rsidRPr="00E57DE9">
        <w:rPr>
          <w:b/>
          <w:bCs/>
          <w:sz w:val="19"/>
          <w:szCs w:val="19"/>
        </w:rPr>
        <w:t>Our external dispute resolution scheme</w:t>
      </w:r>
    </w:p>
    <w:p w14:paraId="63DF0541" w14:textId="77777777" w:rsidR="00E57DE9" w:rsidRPr="00E57DE9" w:rsidRDefault="00B037C4" w:rsidP="00E57DE9">
      <w:pPr>
        <w:pStyle w:val="Default"/>
        <w:spacing w:after="120"/>
        <w:rPr>
          <w:bCs/>
          <w:sz w:val="19"/>
          <w:szCs w:val="19"/>
        </w:rPr>
      </w:pPr>
      <w:r w:rsidRPr="00E57DE9">
        <w:rPr>
          <w:bCs/>
          <w:sz w:val="19"/>
          <w:szCs w:val="19"/>
        </w:rPr>
        <w:t>If we do not reach agreement on your complaint, you may be able to refer the complaint to our External Dispute Resolution (EDR) Scheme.  Our external dispute resolution provider is the Australian Financial Complaints Authority (</w:t>
      </w:r>
      <w:r w:rsidRPr="00583B36">
        <w:rPr>
          <w:b/>
          <w:bCs/>
          <w:sz w:val="19"/>
          <w:szCs w:val="19"/>
        </w:rPr>
        <w:t>AFCA</w:t>
      </w:r>
      <w:r w:rsidRPr="00E57DE9">
        <w:rPr>
          <w:bCs/>
          <w:sz w:val="19"/>
          <w:szCs w:val="19"/>
        </w:rPr>
        <w:t xml:space="preserve">), which can be contacted </w:t>
      </w:r>
      <w:r>
        <w:rPr>
          <w:bCs/>
          <w:sz w:val="19"/>
          <w:szCs w:val="19"/>
        </w:rPr>
        <w:t xml:space="preserve">by telephone on </w:t>
      </w:r>
      <w:r w:rsidRPr="00E57DE9">
        <w:rPr>
          <w:bCs/>
          <w:sz w:val="19"/>
          <w:szCs w:val="19"/>
        </w:rPr>
        <w:t>1800 931 678</w:t>
      </w:r>
      <w:r>
        <w:rPr>
          <w:bCs/>
          <w:sz w:val="19"/>
          <w:szCs w:val="19"/>
        </w:rPr>
        <w:t xml:space="preserve">; by facsimile on +61 3 </w:t>
      </w:r>
      <w:r w:rsidRPr="00E57DE9">
        <w:rPr>
          <w:bCs/>
          <w:sz w:val="19"/>
          <w:szCs w:val="19"/>
        </w:rPr>
        <w:t>9613 6399</w:t>
      </w:r>
      <w:r>
        <w:rPr>
          <w:bCs/>
          <w:sz w:val="19"/>
          <w:szCs w:val="19"/>
        </w:rPr>
        <w:t xml:space="preserve">; by email on </w:t>
      </w:r>
      <w:hyperlink r:id="rId12" w:history="1">
        <w:r w:rsidRPr="006C42AD">
          <w:rPr>
            <w:rStyle w:val="Hyperlink"/>
            <w:bCs/>
            <w:sz w:val="19"/>
            <w:szCs w:val="19"/>
          </w:rPr>
          <w:t>info@afca.org.au</w:t>
        </w:r>
      </w:hyperlink>
      <w:r>
        <w:rPr>
          <w:bCs/>
          <w:sz w:val="19"/>
          <w:szCs w:val="19"/>
        </w:rPr>
        <w:t xml:space="preserve">; online at </w:t>
      </w:r>
      <w:hyperlink r:id="rId13" w:history="1">
        <w:r w:rsidRPr="006C42AD">
          <w:rPr>
            <w:rStyle w:val="Hyperlink"/>
            <w:bCs/>
            <w:sz w:val="19"/>
            <w:szCs w:val="19"/>
          </w:rPr>
          <w:t>www.afca.org.au</w:t>
        </w:r>
      </w:hyperlink>
      <w:r>
        <w:rPr>
          <w:bCs/>
          <w:sz w:val="19"/>
          <w:szCs w:val="19"/>
        </w:rPr>
        <w:t xml:space="preserve">; or in writing to </w:t>
      </w:r>
      <w:r w:rsidRPr="00E57DE9">
        <w:rPr>
          <w:bCs/>
          <w:sz w:val="19"/>
          <w:szCs w:val="19"/>
        </w:rPr>
        <w:t>GPO BOX 3 Melbourne VIC 3001</w:t>
      </w:r>
      <w:r>
        <w:rPr>
          <w:bCs/>
          <w:sz w:val="19"/>
          <w:szCs w:val="19"/>
        </w:rPr>
        <w:t>.</w:t>
      </w:r>
    </w:p>
    <w:p w14:paraId="63DF0542" w14:textId="77777777" w:rsidR="00E57DE9" w:rsidRPr="00E57DE9" w:rsidRDefault="00B037C4" w:rsidP="00E57DE9">
      <w:pPr>
        <w:pStyle w:val="Default"/>
        <w:spacing w:after="120"/>
        <w:rPr>
          <w:bCs/>
          <w:sz w:val="19"/>
          <w:szCs w:val="19"/>
        </w:rPr>
      </w:pPr>
      <w:r w:rsidRPr="00E57DE9">
        <w:rPr>
          <w:bCs/>
          <w:sz w:val="19"/>
          <w:szCs w:val="19"/>
        </w:rPr>
        <w:t>External dispute resolution is a free service established to provide you with an independent mechanism to resolve specific complaints.  You can obtain further details about AFCA and obtain details of our privacy policy on request.</w:t>
      </w:r>
    </w:p>
    <w:p w14:paraId="63DF0543" w14:textId="77777777" w:rsidR="00E12B52" w:rsidRPr="007345A5" w:rsidRDefault="00E12B52" w:rsidP="00E57DE9">
      <w:pPr>
        <w:pStyle w:val="Default"/>
        <w:spacing w:after="120"/>
        <w:rPr>
          <w:b/>
          <w:bCs/>
          <w:sz w:val="8"/>
          <w:szCs w:val="19"/>
        </w:rPr>
      </w:pPr>
    </w:p>
    <w:p w14:paraId="63DF0544" w14:textId="77777777" w:rsidR="00E57DE9" w:rsidRPr="00277BAA" w:rsidRDefault="00B037C4" w:rsidP="00E57DE9">
      <w:pPr>
        <w:pStyle w:val="Default"/>
        <w:spacing w:after="120"/>
        <w:rPr>
          <w:b/>
          <w:bCs/>
          <w:sz w:val="19"/>
          <w:szCs w:val="19"/>
        </w:rPr>
      </w:pPr>
      <w:r w:rsidRPr="00277BAA">
        <w:rPr>
          <w:b/>
          <w:bCs/>
          <w:sz w:val="19"/>
          <w:szCs w:val="19"/>
        </w:rPr>
        <w:t xml:space="preserve">Things you should </w:t>
      </w:r>
      <w:proofErr w:type="gramStart"/>
      <w:r w:rsidRPr="00277BAA">
        <w:rPr>
          <w:b/>
          <w:bCs/>
          <w:sz w:val="19"/>
          <w:szCs w:val="19"/>
        </w:rPr>
        <w:t>know</w:t>
      </w:r>
      <w:proofErr w:type="gramEnd"/>
    </w:p>
    <w:p w14:paraId="63DF0545" w14:textId="77777777" w:rsidR="00E57DE9" w:rsidRPr="00E57DE9" w:rsidRDefault="00B037C4" w:rsidP="00E57DE9">
      <w:pPr>
        <w:pStyle w:val="Default"/>
        <w:spacing w:after="120"/>
        <w:rPr>
          <w:bCs/>
          <w:sz w:val="19"/>
          <w:szCs w:val="19"/>
        </w:rPr>
      </w:pPr>
      <w:r w:rsidRPr="00E57DE9">
        <w:rPr>
          <w:bCs/>
          <w:sz w:val="19"/>
          <w:szCs w:val="19"/>
        </w:rPr>
        <w:t xml:space="preserve">If we arrange a loan for you to purchase or refinance real estate, you should make your own enquiries about the value of the real estate and its potential for future growth.  Although we may obtain a valuation, that is for our own </w:t>
      </w:r>
      <w:proofErr w:type="gramStart"/>
      <w:r w:rsidRPr="00E57DE9">
        <w:rPr>
          <w:bCs/>
          <w:sz w:val="19"/>
          <w:szCs w:val="19"/>
        </w:rPr>
        <w:t>use</w:t>
      </w:r>
      <w:proofErr w:type="gramEnd"/>
      <w:r w:rsidRPr="00E57DE9">
        <w:rPr>
          <w:bCs/>
          <w:sz w:val="19"/>
          <w:szCs w:val="19"/>
        </w:rPr>
        <w:t xml:space="preserve"> and you should not rely on it.  </w:t>
      </w:r>
    </w:p>
    <w:p w14:paraId="63DF0546" w14:textId="77777777" w:rsidR="00E57DE9" w:rsidRPr="00E57DE9" w:rsidRDefault="00B037C4" w:rsidP="00E57DE9">
      <w:pPr>
        <w:pStyle w:val="Default"/>
        <w:spacing w:after="120"/>
        <w:rPr>
          <w:bCs/>
          <w:sz w:val="19"/>
          <w:szCs w:val="19"/>
        </w:rPr>
      </w:pPr>
      <w:r w:rsidRPr="00E57DE9">
        <w:rPr>
          <w:bCs/>
          <w:sz w:val="19"/>
          <w:szCs w:val="19"/>
        </w:rPr>
        <w:t>You should ensure that you have approved finance before entering a binding contract to purchase.</w:t>
      </w:r>
    </w:p>
    <w:p w14:paraId="63DF0547" w14:textId="77777777" w:rsidR="00E57DE9" w:rsidRPr="00E57DE9" w:rsidRDefault="00B037C4" w:rsidP="00E57DE9">
      <w:pPr>
        <w:pStyle w:val="Default"/>
        <w:spacing w:after="120"/>
        <w:rPr>
          <w:bCs/>
          <w:sz w:val="19"/>
          <w:szCs w:val="19"/>
        </w:rPr>
      </w:pPr>
      <w:r w:rsidRPr="00E57DE9">
        <w:rPr>
          <w:bCs/>
          <w:sz w:val="19"/>
          <w:szCs w:val="19"/>
        </w:rPr>
        <w:t xml:space="preserve">We don’t provide legal or financial advice unless specified in a separate contract.  It is important that you understand your legal obligations under the loan, and the financial consequences.  </w:t>
      </w:r>
    </w:p>
    <w:p w14:paraId="63DF0548" w14:textId="77777777" w:rsidR="00E57DE9" w:rsidRPr="00E57DE9" w:rsidRDefault="00B037C4" w:rsidP="00E57DE9">
      <w:pPr>
        <w:pStyle w:val="Default"/>
        <w:spacing w:after="120"/>
        <w:rPr>
          <w:bCs/>
          <w:sz w:val="19"/>
          <w:szCs w:val="19"/>
        </w:rPr>
      </w:pPr>
      <w:r w:rsidRPr="00E57DE9">
        <w:rPr>
          <w:bCs/>
          <w:sz w:val="19"/>
          <w:szCs w:val="19"/>
        </w:rPr>
        <w:t>Before you accept your loan offer, make sure you read the credit contract/loan agreement carefully to understand full details of the loan.  If you have any doubts, you should obtain independent legal and financial advice before you enter any loan contract.</w:t>
      </w:r>
    </w:p>
    <w:p w14:paraId="63DF0549" w14:textId="77777777" w:rsidR="007345A5" w:rsidRPr="007345A5" w:rsidRDefault="007345A5" w:rsidP="00E57DE9">
      <w:pPr>
        <w:pStyle w:val="Default"/>
        <w:spacing w:after="120"/>
        <w:rPr>
          <w:b/>
          <w:bCs/>
          <w:sz w:val="8"/>
          <w:szCs w:val="19"/>
        </w:rPr>
      </w:pPr>
    </w:p>
    <w:p w14:paraId="63DF054A" w14:textId="77777777" w:rsidR="00E57DE9" w:rsidRPr="00277BAA" w:rsidRDefault="00B037C4" w:rsidP="00E57DE9">
      <w:pPr>
        <w:pStyle w:val="Default"/>
        <w:spacing w:after="120"/>
        <w:rPr>
          <w:b/>
          <w:bCs/>
          <w:sz w:val="19"/>
          <w:szCs w:val="19"/>
        </w:rPr>
      </w:pPr>
      <w:r w:rsidRPr="00277BAA">
        <w:rPr>
          <w:b/>
          <w:bCs/>
          <w:sz w:val="19"/>
          <w:szCs w:val="19"/>
        </w:rPr>
        <w:t>Questions?</w:t>
      </w:r>
    </w:p>
    <w:p w14:paraId="63DF054B" w14:textId="77777777" w:rsidR="002E15B0" w:rsidRDefault="00B037C4" w:rsidP="00503B39">
      <w:pPr>
        <w:pStyle w:val="Default"/>
        <w:spacing w:after="120"/>
        <w:rPr>
          <w:rFonts w:eastAsia="SimSun"/>
          <w:color w:val="212121"/>
          <w:sz w:val="19"/>
          <w:szCs w:val="19"/>
          <w:shd w:val="clear" w:color="auto" w:fill="FFFFFF"/>
        </w:rPr>
      </w:pPr>
      <w:r w:rsidRPr="00E57DE9">
        <w:rPr>
          <w:bCs/>
          <w:sz w:val="19"/>
          <w:szCs w:val="19"/>
        </w:rPr>
        <w:t>If you have any questions about this Credit Guide or anything else about our services, just ask at any time.  We’re here to help you.</w:t>
      </w:r>
    </w:p>
    <w:sectPr w:rsidR="002E15B0" w:rsidSect="00503B39">
      <w:footerReference w:type="default" r:id="rId14"/>
      <w:type w:val="continuous"/>
      <w:pgSz w:w="11906" w:h="16838"/>
      <w:pgMar w:top="720" w:right="720" w:bottom="993" w:left="720" w:header="709" w:footer="159" w:gutter="0"/>
      <w:cols w:num="2"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DF0557" w14:textId="77777777" w:rsidR="00BA1FFC" w:rsidRDefault="00B037C4">
      <w:pPr>
        <w:spacing w:after="0" w:line="240" w:lineRule="auto"/>
      </w:pPr>
      <w:r>
        <w:separator/>
      </w:r>
    </w:p>
  </w:endnote>
  <w:endnote w:type="continuationSeparator" w:id="0">
    <w:p w14:paraId="63DF0559" w14:textId="77777777" w:rsidR="00BA1FFC" w:rsidRDefault="00B037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DF0551" w14:textId="77777777" w:rsidR="002E15B0" w:rsidRDefault="002E15B0">
    <w:pPr>
      <w:tabs>
        <w:tab w:val="left" w:pos="2868"/>
      </w:tabs>
      <w:spacing w:after="0" w:line="240" w:lineRule="auto"/>
      <w:rPr>
        <w:rFonts w:cstheme="minorHAnsi"/>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DF0552" w14:textId="77777777" w:rsidR="002E15B0" w:rsidRPr="00503B39" w:rsidRDefault="002E15B0" w:rsidP="00503B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DF0553" w14:textId="77777777" w:rsidR="00BA1FFC" w:rsidRDefault="00B037C4">
      <w:pPr>
        <w:spacing w:after="0" w:line="240" w:lineRule="auto"/>
      </w:pPr>
      <w:r>
        <w:separator/>
      </w:r>
    </w:p>
  </w:footnote>
  <w:footnote w:type="continuationSeparator" w:id="0">
    <w:p w14:paraId="63DF0555" w14:textId="77777777" w:rsidR="00BA1FFC" w:rsidRDefault="00B037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57" w:type="dxa"/>
      <w:tblInd w:w="-567" w:type="dxa"/>
      <w:tblLayout w:type="fixed"/>
      <w:tblCellMar>
        <w:left w:w="0" w:type="dxa"/>
        <w:right w:w="0" w:type="dxa"/>
      </w:tblCellMar>
      <w:tblLook w:val="04A0" w:firstRow="1" w:lastRow="0" w:firstColumn="1" w:lastColumn="0" w:noHBand="0" w:noVBand="1"/>
    </w:tblPr>
    <w:tblGrid>
      <w:gridCol w:w="4820"/>
      <w:gridCol w:w="6237"/>
    </w:tblGrid>
    <w:tr w:rsidR="00F13372" w14:paraId="63DF054F" w14:textId="77777777" w:rsidTr="00AC3246">
      <w:trPr>
        <w:cantSplit/>
        <w:trHeight w:hRule="exact" w:val="851"/>
      </w:trPr>
      <w:tc>
        <w:tcPr>
          <w:tcW w:w="4820" w:type="dxa"/>
        </w:tcPr>
        <w:p w14:paraId="63DF054C" w14:textId="77777777" w:rsidR="00B1763A" w:rsidRDefault="00B1763A">
          <w:pPr>
            <w:pStyle w:val="Header"/>
            <w:ind w:left="567"/>
            <w:jc w:val="both"/>
            <w:rPr>
              <w:sz w:val="40"/>
              <w:szCs w:val="40"/>
            </w:rPr>
          </w:pPr>
        </w:p>
        <w:p w14:paraId="63DF054D" w14:textId="77777777" w:rsidR="00B1763A" w:rsidRDefault="00B1763A">
          <w:pPr>
            <w:pStyle w:val="Header"/>
          </w:pPr>
        </w:p>
      </w:tc>
      <w:tc>
        <w:tcPr>
          <w:tcW w:w="6237" w:type="dxa"/>
        </w:tcPr>
        <w:p w14:paraId="63DF054E" w14:textId="77777777" w:rsidR="00B1763A" w:rsidRPr="00B1763A" w:rsidRDefault="00B1763A" w:rsidP="00B1763A">
          <w:pPr>
            <w:pStyle w:val="Header"/>
            <w:ind w:left="2126"/>
            <w:jc w:val="right"/>
            <w:rPr>
              <w:rFonts w:ascii="Arial" w:hAnsi="Arial" w:cs="Arial"/>
            </w:rPr>
          </w:pPr>
        </w:p>
      </w:tc>
    </w:tr>
  </w:tbl>
  <w:p w14:paraId="63DF0550" w14:textId="77777777" w:rsidR="002E15B0" w:rsidRDefault="002E15B0">
    <w:pPr>
      <w:pStyle w:val="Header"/>
      <w:rPr>
        <w:sz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6B0E9B1"/>
    <w:multiLevelType w:val="singleLevel"/>
    <w:tmpl w:val="A6B0E9B1"/>
    <w:lvl w:ilvl="0">
      <w:start w:val="1"/>
      <w:numFmt w:val="bullet"/>
      <w:lvlText w:val=""/>
      <w:lvlJc w:val="left"/>
      <w:pPr>
        <w:ind w:left="420" w:hanging="420"/>
      </w:pPr>
      <w:rPr>
        <w:rFonts w:ascii="Wingdings" w:hAnsi="Wingdings" w:hint="default"/>
      </w:rPr>
    </w:lvl>
  </w:abstractNum>
  <w:abstractNum w:abstractNumId="1" w15:restartNumberingAfterBreak="0">
    <w:nsid w:val="1CBD2B98"/>
    <w:multiLevelType w:val="multilevel"/>
    <w:tmpl w:val="1CBD2B98"/>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 w15:restartNumberingAfterBreak="0">
    <w:nsid w:val="4E6368F9"/>
    <w:multiLevelType w:val="hybridMultilevel"/>
    <w:tmpl w:val="AEFA4604"/>
    <w:lvl w:ilvl="0" w:tplc="3C8C38AE">
      <w:start w:val="1"/>
      <w:numFmt w:val="bullet"/>
      <w:lvlText w:val=""/>
      <w:lvlJc w:val="left"/>
      <w:pPr>
        <w:ind w:left="720" w:hanging="360"/>
      </w:pPr>
      <w:rPr>
        <w:rFonts w:ascii="Symbol" w:hAnsi="Symbol" w:hint="default"/>
      </w:rPr>
    </w:lvl>
    <w:lvl w:ilvl="1" w:tplc="EE804390" w:tentative="1">
      <w:start w:val="1"/>
      <w:numFmt w:val="bullet"/>
      <w:lvlText w:val="o"/>
      <w:lvlJc w:val="left"/>
      <w:pPr>
        <w:ind w:left="1440" w:hanging="360"/>
      </w:pPr>
      <w:rPr>
        <w:rFonts w:ascii="Courier New" w:hAnsi="Courier New" w:cs="Courier New" w:hint="default"/>
      </w:rPr>
    </w:lvl>
    <w:lvl w:ilvl="2" w:tplc="716CB0F2" w:tentative="1">
      <w:start w:val="1"/>
      <w:numFmt w:val="bullet"/>
      <w:lvlText w:val=""/>
      <w:lvlJc w:val="left"/>
      <w:pPr>
        <w:ind w:left="2160" w:hanging="360"/>
      </w:pPr>
      <w:rPr>
        <w:rFonts w:ascii="Wingdings" w:hAnsi="Wingdings" w:hint="default"/>
      </w:rPr>
    </w:lvl>
    <w:lvl w:ilvl="3" w:tplc="DFDE00F4" w:tentative="1">
      <w:start w:val="1"/>
      <w:numFmt w:val="bullet"/>
      <w:lvlText w:val=""/>
      <w:lvlJc w:val="left"/>
      <w:pPr>
        <w:ind w:left="2880" w:hanging="360"/>
      </w:pPr>
      <w:rPr>
        <w:rFonts w:ascii="Symbol" w:hAnsi="Symbol" w:hint="default"/>
      </w:rPr>
    </w:lvl>
    <w:lvl w:ilvl="4" w:tplc="C86E9A20" w:tentative="1">
      <w:start w:val="1"/>
      <w:numFmt w:val="bullet"/>
      <w:lvlText w:val="o"/>
      <w:lvlJc w:val="left"/>
      <w:pPr>
        <w:ind w:left="3600" w:hanging="360"/>
      </w:pPr>
      <w:rPr>
        <w:rFonts w:ascii="Courier New" w:hAnsi="Courier New" w:cs="Courier New" w:hint="default"/>
      </w:rPr>
    </w:lvl>
    <w:lvl w:ilvl="5" w:tplc="3572E42A" w:tentative="1">
      <w:start w:val="1"/>
      <w:numFmt w:val="bullet"/>
      <w:lvlText w:val=""/>
      <w:lvlJc w:val="left"/>
      <w:pPr>
        <w:ind w:left="4320" w:hanging="360"/>
      </w:pPr>
      <w:rPr>
        <w:rFonts w:ascii="Wingdings" w:hAnsi="Wingdings" w:hint="default"/>
      </w:rPr>
    </w:lvl>
    <w:lvl w:ilvl="6" w:tplc="D7461B2A" w:tentative="1">
      <w:start w:val="1"/>
      <w:numFmt w:val="bullet"/>
      <w:lvlText w:val=""/>
      <w:lvlJc w:val="left"/>
      <w:pPr>
        <w:ind w:left="5040" w:hanging="360"/>
      </w:pPr>
      <w:rPr>
        <w:rFonts w:ascii="Symbol" w:hAnsi="Symbol" w:hint="default"/>
      </w:rPr>
    </w:lvl>
    <w:lvl w:ilvl="7" w:tplc="5EC40818" w:tentative="1">
      <w:start w:val="1"/>
      <w:numFmt w:val="bullet"/>
      <w:lvlText w:val="o"/>
      <w:lvlJc w:val="left"/>
      <w:pPr>
        <w:ind w:left="5760" w:hanging="360"/>
      </w:pPr>
      <w:rPr>
        <w:rFonts w:ascii="Courier New" w:hAnsi="Courier New" w:cs="Courier New" w:hint="default"/>
      </w:rPr>
    </w:lvl>
    <w:lvl w:ilvl="8" w:tplc="E8AE1C08" w:tentative="1">
      <w:start w:val="1"/>
      <w:numFmt w:val="bullet"/>
      <w:lvlText w:val=""/>
      <w:lvlJc w:val="left"/>
      <w:pPr>
        <w:ind w:left="6480" w:hanging="360"/>
      </w:pPr>
      <w:rPr>
        <w:rFonts w:ascii="Wingdings" w:hAnsi="Wingdings" w:hint="default"/>
      </w:rPr>
    </w:lvl>
  </w:abstractNum>
  <w:num w:numId="1" w16cid:durableId="821234614">
    <w:abstractNumId w:val="1"/>
  </w:num>
  <w:num w:numId="2" w16cid:durableId="177547677">
    <w:abstractNumId w:val="0"/>
  </w:num>
  <w:num w:numId="3" w16cid:durableId="15454072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3372"/>
    <w:rsid w:val="0020042F"/>
    <w:rsid w:val="00277BAA"/>
    <w:rsid w:val="002E15B0"/>
    <w:rsid w:val="00503B39"/>
    <w:rsid w:val="00583B36"/>
    <w:rsid w:val="006C42AD"/>
    <w:rsid w:val="007345A5"/>
    <w:rsid w:val="00822E99"/>
    <w:rsid w:val="00857903"/>
    <w:rsid w:val="00AC3246"/>
    <w:rsid w:val="00B037C4"/>
    <w:rsid w:val="00B1763A"/>
    <w:rsid w:val="00B76AFA"/>
    <w:rsid w:val="00BA1FFC"/>
    <w:rsid w:val="00C94BA2"/>
    <w:rsid w:val="00D16198"/>
    <w:rsid w:val="00E12B52"/>
    <w:rsid w:val="00E57DE9"/>
    <w:rsid w:val="00EC0BDF"/>
    <w:rsid w:val="00EF5D4E"/>
    <w:rsid w:val="00F13372"/>
    <w:rsid w:val="00F644EA"/>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F0526"/>
  <w15:docId w15:val="{A73B858D-A609-4B9F-BB9D-1EEC88F0C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AU" w:eastAsia="en-A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paragraph" w:styleId="Footer">
    <w:name w:val="footer"/>
    <w:basedOn w:val="Normal"/>
    <w:link w:val="FooterChar"/>
    <w:uiPriority w:val="99"/>
    <w:unhideWhenUsed/>
    <w:pPr>
      <w:tabs>
        <w:tab w:val="center" w:pos="4513"/>
        <w:tab w:val="right" w:pos="9026"/>
      </w:tabs>
      <w:spacing w:after="0" w:line="240" w:lineRule="auto"/>
    </w:pPr>
  </w:style>
  <w:style w:type="paragraph" w:styleId="Header">
    <w:name w:val="header"/>
    <w:basedOn w:val="Normal"/>
    <w:link w:val="HeaderChar"/>
    <w:uiPriority w:val="99"/>
    <w:unhideWhenUsed/>
    <w:qFormat/>
    <w:pPr>
      <w:tabs>
        <w:tab w:val="center" w:pos="4513"/>
        <w:tab w:val="right" w:pos="9026"/>
      </w:tabs>
      <w:spacing w:after="0" w:line="240" w:lineRule="auto"/>
    </w:pPr>
  </w:style>
  <w:style w:type="paragraph" w:styleId="HTMLPreformatted">
    <w:name w:val="HTML Preformatted"/>
    <w:basedOn w:val="Normal"/>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eastAsia="SimSun" w:hAnsi="SimSun" w:cs="Times New Roman" w:hint="eastAsia"/>
      <w:sz w:val="24"/>
      <w:szCs w:val="24"/>
      <w:lang w:val="en-US" w:eastAsia="zh-CN"/>
    </w:rPr>
  </w:style>
  <w:style w:type="character" w:styleId="Hyperlink">
    <w:name w:val="Hyperlink"/>
    <w:basedOn w:val="DefaultParagraphFont"/>
    <w:uiPriority w:val="99"/>
    <w:unhideWhenUsed/>
    <w:qFormat/>
    <w:rPr>
      <w:color w:val="0000FF" w:themeColor="hyperlink"/>
      <w:u w:val="single"/>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qFormat/>
    <w:pPr>
      <w:autoSpaceDE w:val="0"/>
      <w:autoSpaceDN w:val="0"/>
      <w:adjustRightInd w:val="0"/>
      <w:spacing w:after="0" w:line="240" w:lineRule="auto"/>
    </w:pPr>
    <w:rPr>
      <w:rFonts w:ascii="Arial" w:eastAsiaTheme="minorHAnsi" w:hAnsi="Arial" w:cs="Arial"/>
      <w:color w:val="000000"/>
      <w:sz w:val="24"/>
      <w:szCs w:val="24"/>
      <w:lang w:eastAsia="en-US"/>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style>
  <w:style w:type="paragraph" w:customStyle="1" w:styleId="Header4">
    <w:name w:val="Header 4"/>
    <w:basedOn w:val="Header"/>
    <w:semiHidden/>
    <w:locked/>
    <w:pPr>
      <w:tabs>
        <w:tab w:val="clear" w:pos="4513"/>
        <w:tab w:val="clear" w:pos="9026"/>
      </w:tabs>
      <w:jc w:val="right"/>
    </w:pPr>
    <w:rPr>
      <w:rFonts w:ascii="Arial" w:eastAsia="Times New Roman" w:hAnsi="Arial" w:cs="Times New Roman"/>
      <w:sz w:val="36"/>
      <w:szCs w:val="20"/>
      <w:lang w:eastAsia="en-AU"/>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afca.org.au"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mailto:info@afca.org.au"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info@bcinvest.co"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tx1"/>
        </a:solidFill>
        <a:ln>
          <a:solidFill>
            <a:schemeClr val="tx1"/>
          </a:solidFill>
        </a:ln>
      </a:spPr>
      <a:bodyPr rot="0" spcFirstLastPara="0" vertOverflow="overflow" horzOverflow="overflow" vert="horz" wrap="square" lIns="91440" tIns="45720" rIns="91440" bIns="45720" numCol="1" spcCol="0" rtlCol="0" fromWordArt="0" anchor="ctr" anchorCtr="0" forceAA="0" compatLnSpc="1">
        <a:noAutofit/>
      </a:bodyPr>
      <a:lstStyle/>
      <a:style>
        <a:lnRef idx="2">
          <a:schemeClr val="accent6"/>
        </a:lnRef>
        <a:fillRef idx="1">
          <a:schemeClr val="lt1"/>
        </a:fillRef>
        <a:effectRef idx="0">
          <a:schemeClr val="accent6"/>
        </a:effectRef>
        <a:fontRef idx="minor">
          <a:schemeClr val="dk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0C6AC49-382A-4CE8-AA1B-AC00D820F4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749</Words>
  <Characters>4271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Natalie</dc:creator>
  <cp:lastModifiedBy>Accounts - Astills Lawyers</cp:lastModifiedBy>
  <cp:revision>4</cp:revision>
  <cp:lastPrinted>2018-10-24T03:30:00Z</cp:lastPrinted>
  <dcterms:created xsi:type="dcterms:W3CDTF">2023-06-22T05:36:00Z</dcterms:created>
  <dcterms:modified xsi:type="dcterms:W3CDTF">2023-07-25T01:31:00Z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Created">
    <vt:lpwstr>26/06/2022 12:35 PM</vt:lpwstr>
  </property>
  <property fmtid="{D5CDD505-2E9C-101B-9397-08002B2CF9AE}" pid="3" name="DocumentDate">
    <vt:lpwstr>26/06/2022 12:35 PM</vt:lpwstr>
  </property>
  <property fmtid="{D5CDD505-2E9C-101B-9397-08002B2CF9AE}" pid="4" name="DocumentExtension">
    <vt:lpwstr>.docx</vt:lpwstr>
  </property>
  <property fmtid="{D5CDD505-2E9C-101B-9397-08002B2CF9AE}" pid="5" name="DocumentID">
    <vt:lpwstr>926992</vt:lpwstr>
  </property>
  <property fmtid="{D5CDD505-2E9C-101B-9397-08002B2CF9AE}" pid="6" name="DocumentModified">
    <vt:lpwstr>26/06/2022 8:47 PM</vt:lpwstr>
  </property>
  <property fmtid="{D5CDD505-2E9C-101B-9397-08002B2CF9AE}" pid="7" name="DocumentName">
    <vt:lpwstr>Credit Guide v2.docx</vt:lpwstr>
  </property>
  <property fmtid="{D5CDD505-2E9C-101B-9397-08002B2CF9AE}" pid="8" name="DocumentNameWithoutExtension">
    <vt:lpwstr>Credit Guide v2</vt:lpwstr>
  </property>
  <property fmtid="{D5CDD505-2E9C-101B-9397-08002B2CF9AE}" pid="9" name="DocumentVersion">
    <vt:lpwstr/>
  </property>
  <property fmtid="{D5CDD505-2E9C-101B-9397-08002B2CF9AE}" pid="10" name="DocumentVersionNum">
    <vt:lpwstr>2</vt:lpwstr>
  </property>
  <property fmtid="{D5CDD505-2E9C-101B-9397-08002B2CF9AE}" pid="11" name="EmailDate">
    <vt:lpwstr/>
  </property>
  <property fmtid="{D5CDD505-2E9C-101B-9397-08002B2CF9AE}" pid="12" name="EmailSubject">
    <vt:lpwstr/>
  </property>
  <property fmtid="{D5CDD505-2E9C-101B-9397-08002B2CF9AE}" pid="13" name="From">
    <vt:lpwstr/>
  </property>
  <property fmtid="{D5CDD505-2E9C-101B-9397-08002B2CF9AE}" pid="14" name="ID">
    <vt:lpwstr>926992</vt:lpwstr>
  </property>
  <property fmtid="{D5CDD505-2E9C-101B-9397-08002B2CF9AE}" pid="15" name="KSOProductBuildVer">
    <vt:lpwstr>2052-10.1.0.7643</vt:lpwstr>
  </property>
  <property fmtid="{D5CDD505-2E9C-101B-9397-08002B2CF9AE}" pid="16" name="PageCount">
    <vt:lpwstr>1</vt:lpwstr>
  </property>
  <property fmtid="{D5CDD505-2E9C-101B-9397-08002B2CF9AE}" pid="17" name="Reference">
    <vt:lpwstr/>
  </property>
  <property fmtid="{D5CDD505-2E9C-101B-9397-08002B2CF9AE}" pid="18" name="To">
    <vt:lpwstr/>
  </property>
  <property fmtid="{D5CDD505-2E9C-101B-9397-08002B2CF9AE}" pid="19" name="ndDocumentId">
    <vt:lpwstr>3475-8974-2622</vt:lpwstr>
  </property>
</Properties>
</file>