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MEMORANDUM</w:t>
      </w:r>
    </w:p>
    <w:p>
      <w:pPr>
        <w:pStyle w:val="Heading1"/>
      </w:pPr>
      <w:r>
        <w:t>RE: Contract Analysis - TechServices Agreement</w:t>
      </w:r>
    </w:p>
    <w:p>
      <w:r>
        <w:t>Date: September 25, 2024</w:t>
        <w:br/>
      </w:r>
      <w:r>
        <w:rPr>
          <w:b/>
        </w:rPr>
        <w:t>To: Legal Department</w:t>
        <w:br/>
      </w:r>
      <w:r>
        <w:rPr>
          <w:b/>
        </w:rPr>
        <w:t>From: Contract Review Team</w:t>
        <w:br/>
      </w:r>
    </w:p>
    <w:p>
      <w:pPr>
        <w:pStyle w:val="Heading2"/>
      </w:pPr>
      <w:r>
        <w:t>Executive Summary</w:t>
      </w:r>
    </w:p>
    <w:p>
      <w:r>
        <w:t>This memorandum provides analysis of the TechServices LLC agreement dated January 15, 2024. Key findings include standard service terms, reasonable financial obligations, and appropriate termination clauses.</w:t>
      </w:r>
    </w:p>
    <w:p>
      <w:pPr>
        <w:pStyle w:val="Heading2"/>
      </w:pPr>
      <w:r>
        <w:t>Key Contract Terms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 Category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Parties</w:t>
            </w:r>
          </w:p>
        </w:tc>
        <w:tc>
          <w:tcPr>
            <w:tcW w:type="dxa" w:w="4320"/>
          </w:tcPr>
          <w:p>
            <w:r>
              <w:t>Acme Corporation and TechServices LLC</w:t>
            </w:r>
          </w:p>
        </w:tc>
      </w:tr>
      <w:tr>
        <w:tc>
          <w:tcPr>
            <w:tcW w:type="dxa" w:w="4320"/>
          </w:tcPr>
          <w:p>
            <w:r>
              <w:t>Services</w:t>
            </w:r>
          </w:p>
        </w:tc>
        <w:tc>
          <w:tcPr>
            <w:tcW w:type="dxa" w:w="4320"/>
          </w:tcPr>
          <w:p>
            <w:r>
              <w:t>Software development, consulting, system maintenance</w:t>
            </w:r>
          </w:p>
        </w:tc>
      </w:tr>
      <w:tr>
        <w:tc>
          <w:tcPr>
            <w:tcW w:type="dxa" w:w="4320"/>
          </w:tcPr>
          <w:p>
            <w:r>
              <w:t>Financial Terms</w:t>
            </w:r>
          </w:p>
        </w:tc>
        <w:tc>
          <w:tcPr>
            <w:tcW w:type="dxa" w:w="4320"/>
          </w:tcPr>
          <w:p>
            <w:r>
              <w:t>$25,000 monthly retainer, $150 hourly rate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January 15, 2024 - June 30, 2024</w:t>
            </w:r>
          </w:p>
        </w:tc>
      </w:tr>
      <w:tr>
        <w:tc>
          <w:tcPr>
            <w:tcW w:type="dxa" w:w="4320"/>
          </w:tcPr>
          <w:p>
            <w:r>
              <w:t>Termination</w:t>
            </w:r>
          </w:p>
        </w:tc>
        <w:tc>
          <w:tcPr>
            <w:tcW w:type="dxa" w:w="4320"/>
          </w:tcPr>
          <w:p>
            <w:r>
              <w:t>30 days written notice required</w:t>
            </w:r>
          </w:p>
        </w:tc>
      </w:tr>
      <w:tr>
        <w:tc>
          <w:tcPr>
            <w:tcW w:type="dxa" w:w="4320"/>
          </w:tcPr>
          <w:p>
            <w:r>
              <w:t>Governing Law</w:t>
            </w:r>
          </w:p>
        </w:tc>
        <w:tc>
          <w:tcPr>
            <w:tcW w:type="dxa" w:w="4320"/>
          </w:tcPr>
          <w:p>
            <w:r>
              <w:t>New York State</w:t>
            </w:r>
          </w:p>
        </w:tc>
      </w:tr>
    </w:tbl>
    <w:p>
      <w:pPr>
        <w:pStyle w:val="Heading2"/>
      </w:pPr>
      <w:r>
        <w:t>Legal Analysis</w:t>
      </w:r>
    </w:p>
    <w:p>
      <w:r>
        <w:t>The agreement contains standard commercial terms typical for technology service contracts. Notable provisions include:</w:t>
      </w:r>
    </w:p>
    <w:p>
      <w:pPr>
        <w:pStyle w:val="ListBullet"/>
      </w:pPr>
      <w:r>
        <w:t>Reasonable compensation structure with retainer and hourly components</w:t>
      </w:r>
    </w:p>
    <w:p>
      <w:pPr>
        <w:pStyle w:val="ListBullet"/>
      </w:pPr>
      <w:r>
        <w:t>Appropriate confidentiality protections for both parties</w:t>
      </w:r>
    </w:p>
    <w:p>
      <w:pPr>
        <w:pStyle w:val="ListBullet"/>
      </w:pPr>
      <w:r>
        <w:t>Clear deliverable and timeline requirements</w:t>
      </w:r>
    </w:p>
    <w:p>
      <w:pPr>
        <w:pStyle w:val="ListBullet"/>
      </w:pPr>
      <w:r>
        <w:t>Standard termination clause with adequate notice period</w:t>
      </w:r>
    </w:p>
    <w:p>
      <w:pPr>
        <w:pStyle w:val="Heading2"/>
      </w:pPr>
      <w:r>
        <w:t>Recommendations</w:t>
      </w:r>
    </w:p>
    <w:p>
      <w:r>
        <w:t>The contract appears commercially reasonable and legally sound. We recommend proceeding with execution subject to final review of insurance and indemnification clauses.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