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b/>
          <w:sz w:val="32"/>
        </w:rPr>
        <w:t>THE</w:t>
      </w:r>
    </w:p>
    <w:p>
      <w:pPr>
        <w:jc w:val="center"/>
      </w:pPr>
      <w:r>
        <w:rPr>
          <w:rFonts w:ascii="Arial" w:hAnsi="Arial"/>
          <w:b/>
          <w:sz w:val="36"/>
        </w:rPr>
        <w:t>THE ANDERSON FAMILY TRUST</w:t>
      </w:r>
    </w:p>
    <w:p>
      <w:pPr>
        <w:jc w:val="center"/>
      </w:pPr>
      <w:r>
        <w:rPr>
          <w:rFonts w:ascii="Arial" w:hAnsi="Arial"/>
          <w:b w:val="0"/>
          <w:sz w:val="24"/>
        </w:rPr>
        <w:t>Dated: February 15, 2026</w:t>
      </w:r>
    </w:p>
    <w:p/>
    <w:p/>
    <w:p/>
    <w:p/>
    <w:p/>
    <w:p/>
    <w:p>
      <w:pPr>
        <w:jc w:val="center"/>
      </w:pPr>
      <w:r>
        <w:rPr>
          <w:rFonts w:ascii="Arial" w:hAnsi="Arial"/>
          <w:sz w:val="22"/>
        </w:rPr>
        <w:t>Prepared by:</w:t>
      </w:r>
    </w:p>
    <w:p>
      <w:pPr>
        <w:jc w:val="center"/>
      </w:pPr>
      <w:r>
        <w:rPr>
          <w:rFonts w:ascii="Arial" w:hAnsi="Arial"/>
          <w:b/>
          <w:sz w:val="22"/>
        </w:rPr>
        <w:t>Crosby and Crosby LLP</w:t>
      </w:r>
    </w:p>
    <w:p>
      <w:pPr>
        <w:jc w:val="center"/>
      </w:pPr>
      <w:r>
        <w:rPr>
          <w:rFonts w:ascii="Arial" w:hAnsi="Arial"/>
          <w:sz w:val="22"/>
        </w:rPr>
        <w:t>3815 N Mulford Rd. 4</w:t>
      </w:r>
    </w:p>
    <w:p>
      <w:pPr>
        <w:jc w:val="center"/>
      </w:pPr>
      <w:r>
        <w:rPr>
          <w:rFonts w:ascii="Arial" w:hAnsi="Arial"/>
          <w:sz w:val="22"/>
        </w:rPr>
        <w:t>Rockford, IL 61114</w:t>
      </w:r>
    </w:p>
    <w:p>
      <w:pPr>
        <w:jc w:val="center"/>
      </w:pPr>
      <w:r>
        <w:rPr>
          <w:rFonts w:ascii="Arial" w:hAnsi="Arial"/>
          <w:sz w:val="22"/>
        </w:rPr>
        <w:t>(815) 367-6432</w:t>
      </w:r>
    </w:p>
    <w:p>
      <w:r>
        <w:br w:type="page"/>
      </w:r>
    </w:p>
    <w:p>
      <w:pPr>
        <w:pStyle w:val="Heading1"/>
      </w:pPr>
      <w:r>
        <w:rPr>
          <w:rFonts w:ascii="Arial" w:hAnsi="Arial"/>
          <w:color w:val="1F3864"/>
        </w:rPr>
        <w:t>Article 1: Establishing Our Trust</w:t>
      </w:r>
    </w:p>
    <w:p>
      <w:pPr>
        <w:spacing w:after="120"/>
        <w:jc w:val="both"/>
      </w:pPr>
      <w:r>
        <w:rPr>
          <w:rFonts w:ascii="Arial" w:hAnsi="Arial"/>
          <w:sz w:val="22"/>
        </w:rPr>
        <w:t>The date of this Trust is February 15, 2026. The parties are Robert James Anderson and Michelle Lynn Anderson (the “Grantors”) and Robert James Anderson and Michelle Lynn Anderson (our “Trustee(s)”). We have transferred certain assets to our Trustee(s) to be held in trust subject to this instrument.</w:t>
      </w:r>
    </w:p>
    <w:p>
      <w:pPr>
        <w:spacing w:after="120"/>
        <w:jc w:val="both"/>
      </w:pPr>
      <w:r>
        <w:rPr>
          <w:rFonts w:ascii="Arial" w:hAnsi="Arial"/>
          <w:sz w:val="22"/>
        </w:rPr>
        <w:t>We intend to create a valid trust under the laws of Illinois.</w:t>
      </w:r>
    </w:p>
    <w:p>
      <w:pPr>
        <w:pStyle w:val="Heading2"/>
      </w:pPr>
      <w:r>
        <w:rPr>
          <w:rFonts w:ascii="Arial" w:hAnsi="Arial"/>
          <w:color w:val="2E5090"/>
        </w:rPr>
        <w:t>1.1 Family</w:t>
      </w:r>
    </w:p>
    <w:p>
      <w:pPr>
        <w:spacing w:after="120"/>
        <w:jc w:val="both"/>
      </w:pPr>
      <w:r>
        <w:rPr>
          <w:rFonts w:ascii="Arial" w:hAnsi="Arial"/>
          <w:sz w:val="22"/>
        </w:rPr>
        <w:t>Robert James Anderson is “Husband” and Michelle Lynn Anderson is “Wife.” Both are “we,” “us,” “our,” or “Grantors.”</w:t>
      </w:r>
    </w:p>
    <w:p>
      <w:pPr>
        <w:spacing w:after="120"/>
        <w:jc w:val="both"/>
      </w:pPr>
      <w:r>
        <w:rPr>
          <w:rFonts w:ascii="Arial" w:hAnsi="Arial"/>
          <w:sz w:val="22"/>
        </w:rPr>
        <w:t>We have 3 children:</w:t>
      </w:r>
    </w:p>
    <w:p>
      <w:pPr>
        <w:spacing w:after="80"/>
        <w:ind w:left="720"/>
        <w:jc w:val="both"/>
      </w:pPr>
      <w:r>
        <w:rPr>
          <w:rFonts w:ascii="Arial" w:hAnsi="Arial"/>
          <w:sz w:val="22"/>
        </w:rPr>
        <w:t>Emily Rose Anderson, born March 12, 2001</w:t>
      </w:r>
    </w:p>
    <w:p>
      <w:pPr>
        <w:spacing w:after="80"/>
        <w:ind w:left="720"/>
        <w:jc w:val="both"/>
      </w:pPr>
      <w:r>
        <w:rPr>
          <w:rFonts w:ascii="Arial" w:hAnsi="Arial"/>
          <w:sz w:val="22"/>
        </w:rPr>
        <w:t>Jacob Thomas Anderson, born July 8, 2004</w:t>
      </w:r>
    </w:p>
    <w:p>
      <w:pPr>
        <w:spacing w:after="80"/>
        <w:ind w:left="720"/>
        <w:jc w:val="both"/>
      </w:pPr>
      <w:r>
        <w:rPr>
          <w:rFonts w:ascii="Arial" w:hAnsi="Arial"/>
          <w:sz w:val="22"/>
        </w:rPr>
        <w:t>Sophia Grace Anderson, born November 22, 2008</w:t>
      </w:r>
    </w:p>
    <w:p>
      <w:pPr>
        <w:spacing w:after="120"/>
        <w:jc w:val="both"/>
      </w:pPr>
      <w:r>
        <w:rPr>
          <w:rFonts w:ascii="Arial" w:hAnsi="Arial"/>
          <w:sz w:val="22"/>
        </w:rPr>
        <w:t>All references to “our children” mean these children. “Our descendants” means our children and their descendants.</w:t>
      </w:r>
    </w:p>
    <w:p>
      <w:pPr>
        <w:pStyle w:val="Heading2"/>
      </w:pPr>
      <w:r>
        <w:rPr>
          <w:rFonts w:ascii="Arial" w:hAnsi="Arial"/>
          <w:color w:val="2E5090"/>
        </w:rPr>
        <w:t>1.2 Name of Trust</w:t>
      </w:r>
    </w:p>
    <w:p>
      <w:pPr>
        <w:spacing w:after="120"/>
        <w:jc w:val="both"/>
      </w:pPr>
      <w:r>
        <w:rPr>
          <w:rFonts w:ascii="Arial" w:hAnsi="Arial"/>
          <w:sz w:val="22"/>
        </w:rPr>
        <w:t>This Trust shall be known as the The Anderson Family Trust. For transfers, identify as: “Robert James Anderson and Michelle Lynn Anderson, Trustee(s) of the The Anderson Family Trust, dated February 15, 2026, and any amendments thereto.”</w:t>
      </w:r>
    </w:p>
    <w:p>
      <w:pPr>
        <w:pStyle w:val="Heading2"/>
      </w:pPr>
      <w:r>
        <w:rPr>
          <w:rFonts w:ascii="Arial" w:hAnsi="Arial"/>
          <w:color w:val="2E5090"/>
        </w:rPr>
        <w:t>1.3 Certificate of Trust and Third Party Reliance</w:t>
      </w:r>
    </w:p>
    <w:p>
      <w:pPr>
        <w:spacing w:after="120"/>
        <w:jc w:val="both"/>
      </w:pPr>
      <w:r>
        <w:rPr>
          <w:rFonts w:ascii="Arial" w:hAnsi="Arial"/>
          <w:sz w:val="22"/>
        </w:rPr>
        <w:t>Our Trustee may use a certification of trust instead of this instrument. Third parties may rely upon it and are not required to inquire into the Trust’s terms or see to the application of funds received by our Trustee.</w:t>
      </w:r>
    </w:p>
    <w:p>
      <w:pPr>
        <w:pStyle w:val="Heading2"/>
      </w:pPr>
      <w:r>
        <w:rPr>
          <w:rFonts w:ascii="Arial" w:hAnsi="Arial"/>
          <w:color w:val="2E5090"/>
        </w:rPr>
        <w:t>1.4 Transferring Property to Our Trust</w:t>
      </w:r>
    </w:p>
    <w:p>
      <w:pPr>
        <w:spacing w:after="120"/>
        <w:jc w:val="both"/>
      </w:pPr>
      <w:r>
        <w:rPr>
          <w:rFonts w:ascii="Arial" w:hAnsi="Arial"/>
          <w:sz w:val="22"/>
        </w:rPr>
        <w:t>By executing this instrument, we transfer the property described in the attached schedules. At the time of drafting, those assets include:</w:t>
      </w:r>
    </w:p>
    <w:p>
      <w:pPr>
        <w:spacing w:after="80"/>
        <w:ind w:left="720"/>
        <w:jc w:val="both"/>
      </w:pPr>
      <w:r>
        <w:rPr>
          <w:rFonts w:ascii="Arial" w:hAnsi="Arial"/>
          <w:sz w:val="22"/>
        </w:rPr>
        <w:t>1. Real property at 4521 Oakwood Drive, Rockford, IL 61107 (equity: $200,000)</w:t>
      </w:r>
    </w:p>
    <w:p>
      <w:pPr>
        <w:spacing w:after="80"/>
        <w:ind w:left="720"/>
        <w:jc w:val="both"/>
      </w:pPr>
      <w:r>
        <w:rPr>
          <w:rFonts w:ascii="Arial" w:hAnsi="Arial"/>
          <w:sz w:val="22"/>
        </w:rPr>
        <w:t>2. Joint Checking at BMO Harris Bank (value: $12,000)</w:t>
      </w:r>
    </w:p>
    <w:p>
      <w:pPr>
        <w:spacing w:after="80"/>
        <w:ind w:left="720"/>
        <w:jc w:val="both"/>
      </w:pPr>
      <w:r>
        <w:rPr>
          <w:rFonts w:ascii="Arial" w:hAnsi="Arial"/>
          <w:sz w:val="22"/>
        </w:rPr>
        <w:t>3. Joint Savings at BMO Harris Bank (value: $35,000)</w:t>
      </w:r>
    </w:p>
    <w:p>
      <w:pPr>
        <w:spacing w:after="80"/>
        <w:ind w:left="720"/>
        <w:jc w:val="both"/>
      </w:pPr>
      <w:r>
        <w:rPr>
          <w:rFonts w:ascii="Arial" w:hAnsi="Arial"/>
          <w:sz w:val="22"/>
        </w:rPr>
        <w:t>4. Brokerage at Fidelity Investments (value: $140,000)</w:t>
      </w:r>
    </w:p>
    <w:p>
      <w:pPr>
        <w:spacing w:after="80"/>
        <w:ind w:left="720"/>
        <w:jc w:val="both"/>
      </w:pPr>
      <w:r>
        <w:rPr>
          <w:rFonts w:ascii="Arial" w:hAnsi="Arial"/>
          <w:sz w:val="22"/>
        </w:rPr>
        <w:t>5. Traditional IRA at Fidelity Investments (value: $275,000)</w:t>
      </w:r>
    </w:p>
    <w:p>
      <w:pPr>
        <w:spacing w:after="80"/>
        <w:ind w:left="720"/>
        <w:jc w:val="both"/>
      </w:pPr>
      <w:r>
        <w:rPr>
          <w:rFonts w:ascii="Arial" w:hAnsi="Arial"/>
          <w:sz w:val="22"/>
        </w:rPr>
        <w:t>6. Roth IRA at Fidelity Investments (value: $125,000)</w:t>
      </w:r>
    </w:p>
    <w:p>
      <w:pPr>
        <w:spacing w:after="80"/>
        <w:ind w:left="720"/>
        <w:jc w:val="both"/>
      </w:pPr>
      <w:r>
        <w:rPr>
          <w:rFonts w:ascii="Arial" w:hAnsi="Arial"/>
          <w:sz w:val="22"/>
        </w:rPr>
        <w:t>7. Pension at State of Illinois (value: $100,000)</w:t>
      </w:r>
    </w:p>
    <w:p>
      <w:pPr>
        <w:spacing w:after="80"/>
        <w:ind w:left="720"/>
        <w:jc w:val="both"/>
      </w:pPr>
      <w:r>
        <w:rPr>
          <w:rFonts w:ascii="Arial" w:hAnsi="Arial"/>
          <w:sz w:val="22"/>
        </w:rPr>
        <w:t>8. Vehicle: 2022 Toyota RAV4 (value: $22,000)</w:t>
      </w:r>
    </w:p>
    <w:p>
      <w:pPr>
        <w:spacing w:after="80"/>
        <w:ind w:left="720"/>
        <w:jc w:val="both"/>
      </w:pPr>
      <w:r>
        <w:rPr>
          <w:rFonts w:ascii="Arial" w:hAnsi="Arial"/>
          <w:sz w:val="22"/>
        </w:rPr>
        <w:t>9. Vehicle: 2021 Honda CR-V (value: $18,000)</w:t>
      </w:r>
    </w:p>
    <w:p>
      <w:pPr>
        <w:spacing w:after="80"/>
        <w:ind w:left="720"/>
        <w:jc w:val="both"/>
      </w:pPr>
      <w:r>
        <w:rPr>
          <w:rFonts w:ascii="Arial" w:hAnsi="Arial"/>
          <w:sz w:val="22"/>
        </w:rPr>
        <w:t>10. Life insurance with State Farm (benefit: $250,000)</w:t>
      </w:r>
    </w:p>
    <w:p>
      <w:pPr>
        <w:spacing w:after="80"/>
        <w:ind w:left="720"/>
        <w:jc w:val="both"/>
      </w:pPr>
      <w:r>
        <w:rPr>
          <w:rFonts w:ascii="Arial" w:hAnsi="Arial"/>
          <w:sz w:val="22"/>
        </w:rPr>
        <w:t>11. Pension from State of Illinois SERS (value: N/A - monthly benefit)</w:t>
      </w:r>
    </w:p>
    <w:p>
      <w:pPr>
        <w:spacing w:after="80"/>
        <w:ind w:left="720"/>
        <w:jc w:val="both"/>
      </w:pPr>
      <w:r>
        <w:rPr>
          <w:rFonts w:ascii="Arial" w:hAnsi="Arial"/>
          <w:sz w:val="22"/>
        </w:rPr>
        <w:t>12. Coin collection (value: $25,000)</w:t>
      </w:r>
    </w:p>
    <w:p>
      <w:pPr>
        <w:spacing w:after="80"/>
        <w:ind w:left="720"/>
        <w:jc w:val="both"/>
      </w:pPr>
      <w:r>
        <w:rPr>
          <w:rFonts w:ascii="Arial" w:hAnsi="Arial"/>
          <w:sz w:val="22"/>
        </w:rPr>
        <w:t>13. Antique furniture set (value: $15,000)</w:t>
      </w:r>
    </w:p>
    <w:p>
      <w:pPr>
        <w:spacing w:after="120"/>
        <w:jc w:val="both"/>
      </w:pPr>
      <w:r>
        <w:rPr>
          <w:rFonts w:ascii="Arial" w:hAnsi="Arial"/>
          <w:sz w:val="22"/>
        </w:rPr>
        <w:t>This instrument also considers additional assets we may obtain before this instrument becomes irrevocable.</w:t>
      </w:r>
    </w:p>
    <w:p>
      <w:pPr>
        <w:spacing w:after="120"/>
        <w:jc w:val="both"/>
      </w:pPr>
      <w:r>
        <w:rPr>
          <w:rFonts w:ascii="Arial" w:hAnsi="Arial"/>
          <w:sz w:val="22"/>
        </w:rPr>
        <w:t>Our Trustee accepts and agrees to hold transferred property as Trust property, to administer for our benefit and our beneficiaries’ benefit.</w:t>
      </w:r>
    </w:p>
    <w:p>
      <w:pPr>
        <w:spacing w:after="120"/>
        <w:jc w:val="both"/>
      </w:pPr>
      <w:r>
        <w:rPr>
          <w:rFonts w:ascii="Arial" w:hAnsi="Arial"/>
          <w:sz w:val="22"/>
        </w:rPr>
        <w:t>All property transferred is communal property.</w:t>
      </w:r>
    </w:p>
    <w:p>
      <w:pPr>
        <w:pStyle w:val="Heading2"/>
      </w:pPr>
      <w:r>
        <w:rPr>
          <w:rFonts w:ascii="Arial" w:hAnsi="Arial"/>
          <w:color w:val="2E5090"/>
        </w:rPr>
        <w:t>1.5 Intentions of the Grantors</w:t>
      </w:r>
    </w:p>
    <w:p>
      <w:pPr>
        <w:spacing w:after="120"/>
        <w:jc w:val="both"/>
      </w:pPr>
      <w:r>
        <w:rPr>
          <w:rFonts w:ascii="Arial" w:hAnsi="Arial"/>
          <w:sz w:val="22"/>
        </w:rPr>
        <w:t>We create this revocable living trust for our benefit while living, and for our beneficiaries after our death.</w:t>
      </w:r>
    </w:p>
    <w:p>
      <w:r>
        <w:rPr>
          <w:rFonts w:ascii="Arial" w:hAnsi="Arial"/>
          <w:b/>
          <w:color w:val="CC0000"/>
          <w:sz w:val="20"/>
          <w:highlight w:val="yellow"/>
        </w:rPr>
        <w:t>*** MANUAL REVIEW: Statement of Intent (from questionnaire) ***</w:t>
      </w:r>
    </w:p>
    <w:p>
      <w:r>
        <w:rPr>
          <w:rFonts w:ascii="Arial" w:hAnsi="Arial"/>
          <w:sz w:val="22"/>
          <w:highlight w:val="red"/>
        </w:rPr>
        <w:t>It is our intention to establish this Trust primarily for the benefit of our three children equally. We are creating this Trust to avoid probate and to ensure an orderly distribution of our assets. We wish for our children to be self-sufficient and encourage them to pursue education and productive careers. We do not wish for any distributions to be considered gifts to any spouse of our children unless specifically stated.</w:t>
      </w:r>
    </w:p>
    <w:p>
      <w:r>
        <w:rPr>
          <w:rFonts w:ascii="Arial" w:hAnsi="Arial"/>
          <w:b/>
          <w:color w:val="CC0000"/>
          <w:sz w:val="20"/>
          <w:highlight w:val="yellow"/>
        </w:rPr>
        <w:t>*** END MANUAL REVIEW ***</w:t>
      </w:r>
    </w:p>
    <w:p>
      <w:pPr>
        <w:pStyle w:val="Heading2"/>
      </w:pPr>
      <w:r>
        <w:rPr>
          <w:rFonts w:ascii="Arial" w:hAnsi="Arial"/>
          <w:color w:val="2E5090"/>
        </w:rPr>
        <w:t>1.7 Grantor Trust Status</w:t>
      </w:r>
    </w:p>
    <w:p>
      <w:pPr>
        <w:spacing w:after="120"/>
        <w:jc w:val="both"/>
      </w:pPr>
      <w:r>
        <w:rPr>
          <w:rFonts w:ascii="Arial" w:hAnsi="Arial"/>
          <w:sz w:val="22"/>
        </w:rPr>
        <w:t>We intend to qualify as a Grantor Trust under IRC Sections 671-677. The Tax ID will be Robert James Anderson’s Social Security number.</w:t>
      </w:r>
    </w:p>
    <w:p>
      <w:pPr>
        <w:pStyle w:val="Heading2"/>
      </w:pPr>
      <w:r>
        <w:rPr>
          <w:rFonts w:ascii="Arial" w:hAnsi="Arial"/>
          <w:color w:val="2E5090"/>
        </w:rPr>
        <w:t>1.8 Powers Reserved by Us as Grantors</w:t>
      </w:r>
    </w:p>
    <w:p>
      <w:pPr>
        <w:spacing w:after="120"/>
        <w:jc w:val="both"/>
      </w:pPr>
      <w:r>
        <w:rPr>
          <w:rFonts w:ascii="Arial" w:hAnsi="Arial"/>
          <w:sz w:val="22"/>
        </w:rPr>
        <w:t>Either of us may act for the Trust without the other’s consent. We may jointly amend, restate, or revoke this instrument in writing. Either may add property; jointly we may remove property. We retain control of income and principal distributions. Undistributed income is added to principal.</w:t>
      </w:r>
    </w:p>
    <w:p>
      <w:r>
        <w:br w:type="page"/>
      </w:r>
    </w:p>
    <w:p>
      <w:pPr>
        <w:pStyle w:val="Heading1"/>
      </w:pPr>
      <w:r>
        <w:rPr>
          <w:rFonts w:ascii="Arial" w:hAnsi="Arial"/>
          <w:color w:val="1F3864"/>
        </w:rPr>
        <w:t>Article 2: Trustee Succession</w:t>
      </w:r>
    </w:p>
    <w:p>
      <w:pPr>
        <w:pStyle w:val="Heading2"/>
      </w:pPr>
      <w:r>
        <w:rPr>
          <w:rFonts w:ascii="Arial" w:hAnsi="Arial"/>
          <w:color w:val="2E5090"/>
        </w:rPr>
        <w:t>2.1 Resignation</w:t>
      </w:r>
    </w:p>
    <w:p>
      <w:pPr>
        <w:spacing w:after="120"/>
        <w:jc w:val="both"/>
      </w:pPr>
      <w:r>
        <w:rPr>
          <w:rFonts w:ascii="Arial" w:hAnsi="Arial"/>
          <w:sz w:val="22"/>
        </w:rPr>
        <w:t>A Trustee may resign by written notice to either of us, or if both incapacitated or deceased, to beneficiaries and co-trustees.</w:t>
      </w:r>
    </w:p>
    <w:p>
      <w:pPr>
        <w:pStyle w:val="Heading2"/>
      </w:pPr>
      <w:r>
        <w:rPr>
          <w:rFonts w:ascii="Arial" w:hAnsi="Arial"/>
          <w:color w:val="2E5090"/>
        </w:rPr>
        <w:t>2.2 General Succession</w:t>
      </w:r>
    </w:p>
    <w:p>
      <w:pPr>
        <w:spacing w:after="120"/>
        <w:jc w:val="both"/>
      </w:pPr>
      <w:r>
        <w:rPr>
          <w:rFonts w:ascii="Arial" w:hAnsi="Arial"/>
          <w:sz w:val="22"/>
        </w:rPr>
        <w:t>If either of us ceases to act as Trustee, the surviving spouse continues as sole Trustee. If both are unable, succession is:</w:t>
      </w:r>
    </w:p>
    <w:p>
      <w:pPr>
        <w:spacing w:after="80"/>
        <w:ind w:left="720"/>
        <w:jc w:val="both"/>
      </w:pPr>
      <w:r>
        <w:rPr>
          <w:rFonts w:ascii="Arial" w:hAnsi="Arial"/>
          <w:sz w:val="22"/>
        </w:rPr>
        <w:t>1st: Emily Rose Anderson (Daughter)</w:t>
      </w:r>
    </w:p>
    <w:p>
      <w:pPr>
        <w:spacing w:after="80"/>
        <w:ind w:left="720"/>
        <w:jc w:val="both"/>
      </w:pPr>
      <w:r>
        <w:rPr>
          <w:rFonts w:ascii="Arial" w:hAnsi="Arial"/>
          <w:sz w:val="22"/>
        </w:rPr>
        <w:t>2nd: Thomas Anderson (Brother of Husband)</w:t>
      </w:r>
    </w:p>
    <w:p>
      <w:pPr>
        <w:spacing w:after="80"/>
        <w:ind w:left="720"/>
        <w:jc w:val="both"/>
      </w:pPr>
      <w:r>
        <w:rPr>
          <w:rFonts w:ascii="Arial" w:hAnsi="Arial"/>
          <w:sz w:val="22"/>
        </w:rPr>
        <w:t>3rd: Lisa Chen (Wife's Sister)</w:t>
      </w:r>
    </w:p>
    <w:p>
      <w:pPr>
        <w:pStyle w:val="Heading2"/>
      </w:pPr>
      <w:r>
        <w:rPr>
          <w:rFonts w:ascii="Arial" w:hAnsi="Arial"/>
          <w:color w:val="2E5090"/>
        </w:rPr>
        <w:t>2.3 Contingent Succession</w:t>
      </w:r>
    </w:p>
    <w:p>
      <w:pPr>
        <w:spacing w:after="120"/>
        <w:jc w:val="both"/>
      </w:pPr>
      <w:r>
        <w:rPr>
          <w:rFonts w:ascii="Arial" w:hAnsi="Arial"/>
          <w:sz w:val="22"/>
        </w:rPr>
        <w:t>If no designated Trustee can serve: we may jointly appoint one; if only one of us survives, that spouse may appoint; if neither survives, a majority of beneficiaries may appoint or petition the court.</w:t>
      </w:r>
    </w:p>
    <w:p>
      <w:pPr>
        <w:pStyle w:val="Heading2"/>
      </w:pPr>
      <w:r>
        <w:rPr>
          <w:rFonts w:ascii="Arial" w:hAnsi="Arial"/>
          <w:color w:val="2E5090"/>
        </w:rPr>
        <w:t>2.4 Removal</w:t>
      </w:r>
    </w:p>
    <w:p>
      <w:pPr>
        <w:spacing w:after="120"/>
        <w:jc w:val="both"/>
      </w:pPr>
      <w:r>
        <w:rPr>
          <w:rFonts w:ascii="Arial" w:hAnsi="Arial"/>
          <w:sz w:val="22"/>
        </w:rPr>
        <w:t>We may jointly remove any Trustee. During one’s incapacity, the other may remove. If both incapacitated, a majority of our children may remove. After both deaths, a majority of Income Beneficiaries may remove.</w:t>
      </w:r>
    </w:p>
    <w:p>
      <w:pPr>
        <w:pStyle w:val="Heading2"/>
      </w:pPr>
      <w:r>
        <w:rPr>
          <w:rFonts w:ascii="Arial" w:hAnsi="Arial"/>
          <w:color w:val="2E5090"/>
        </w:rPr>
        <w:t>2.5 Incapacity of a Trustee</w:t>
      </w:r>
    </w:p>
    <w:p>
      <w:pPr>
        <w:spacing w:after="120"/>
        <w:jc w:val="both"/>
      </w:pPr>
      <w:r>
        <w:rPr>
          <w:rFonts w:ascii="Arial" w:hAnsi="Arial"/>
          <w:sz w:val="22"/>
        </w:rPr>
        <w:t>A written declaration of incapacity by a co-Trustee or designated successor, supported by a physician’s written opinion, terminates the trusteeship. An objecting Trustee has five days to object and must sign medical releases.</w:t>
      </w:r>
    </w:p>
    <w:p>
      <w:pPr>
        <w:pStyle w:val="Heading2"/>
      </w:pPr>
      <w:r>
        <w:rPr>
          <w:rFonts w:ascii="Arial" w:hAnsi="Arial"/>
          <w:color w:val="2E5090"/>
        </w:rPr>
        <w:t>2.6 Rights of Successor Trustees</w:t>
      </w:r>
    </w:p>
    <w:p>
      <w:pPr>
        <w:spacing w:after="120"/>
        <w:jc w:val="both"/>
      </w:pPr>
      <w:r>
        <w:rPr>
          <w:rFonts w:ascii="Arial" w:hAnsi="Arial"/>
          <w:sz w:val="22"/>
        </w:rPr>
        <w:t>Successor Trustees have all rights and obligations of the initial Trustee. No successor need examine prior Trustee’s records.</w:t>
      </w:r>
    </w:p>
    <w:p>
      <w:r>
        <w:br w:type="page"/>
      </w:r>
    </w:p>
    <w:p>
      <w:pPr>
        <w:pStyle w:val="Heading1"/>
      </w:pPr>
      <w:r>
        <w:rPr>
          <w:rFonts w:ascii="Arial" w:hAnsi="Arial"/>
          <w:color w:val="1F3864"/>
        </w:rPr>
        <w:t>Article 3: Administration During Our Lives</w:t>
      </w:r>
    </w:p>
    <w:p>
      <w:pPr>
        <w:pStyle w:val="Heading2"/>
      </w:pPr>
      <w:r>
        <w:rPr>
          <w:rFonts w:ascii="Arial" w:hAnsi="Arial"/>
          <w:color w:val="2E5090"/>
        </w:rPr>
        <w:t>3.1 Right to Amend or Revoke</w:t>
      </w:r>
    </w:p>
    <w:p>
      <w:pPr>
        <w:spacing w:after="120"/>
        <w:jc w:val="both"/>
      </w:pPr>
      <w:r>
        <w:rPr>
          <w:rFonts w:ascii="Arial" w:hAnsi="Arial"/>
          <w:sz w:val="22"/>
        </w:rPr>
        <w:t>While both alive, we may revoke or amend in whole or part by written agreement signed by both of us.</w:t>
      </w:r>
    </w:p>
    <w:p>
      <w:pPr>
        <w:pStyle w:val="Heading2"/>
      </w:pPr>
      <w:r>
        <w:rPr>
          <w:rFonts w:ascii="Arial" w:hAnsi="Arial"/>
          <w:color w:val="2E5090"/>
        </w:rPr>
        <w:t>3.2 Surviving Spouse’s Amendment Rights</w:t>
      </w:r>
    </w:p>
    <w:p>
      <w:pPr>
        <w:spacing w:after="120"/>
        <w:jc w:val="both"/>
      </w:pPr>
      <w:r>
        <w:rPr>
          <w:rFonts w:ascii="Arial" w:hAnsi="Arial"/>
          <w:sz w:val="22"/>
        </w:rPr>
        <w:t>The surviving spouse has full power to amend or revoke the entire Trust.</w:t>
      </w:r>
    </w:p>
    <w:p>
      <w:pPr>
        <w:pStyle w:val="Heading2"/>
      </w:pPr>
      <w:r>
        <w:rPr>
          <w:rFonts w:ascii="Arial" w:hAnsi="Arial"/>
          <w:color w:val="2E5090"/>
        </w:rPr>
        <w:t>3.3 Distributions During Our Lives</w:t>
      </w:r>
    </w:p>
    <w:p>
      <w:pPr>
        <w:spacing w:after="120"/>
        <w:jc w:val="both"/>
      </w:pPr>
      <w:r>
        <w:rPr>
          <w:rFonts w:ascii="Arial" w:hAnsi="Arial"/>
          <w:sz w:val="22"/>
        </w:rPr>
        <w:t>While both alive, we may use or distribute Trust property as if owned outside the Trust.</w:t>
      </w:r>
    </w:p>
    <w:p>
      <w:pPr>
        <w:pStyle w:val="Heading2"/>
      </w:pPr>
      <w:r>
        <w:rPr>
          <w:rFonts w:ascii="Arial" w:hAnsi="Arial"/>
          <w:color w:val="2E5090"/>
        </w:rPr>
        <w:t>3.4 Administration During Incapacity</w:t>
      </w:r>
    </w:p>
    <w:p>
      <w:pPr>
        <w:spacing w:after="120"/>
        <w:jc w:val="both"/>
      </w:pPr>
      <w:r>
        <w:rPr>
          <w:rFonts w:ascii="Arial" w:hAnsi="Arial"/>
          <w:sz w:val="22"/>
        </w:rPr>
        <w:t>If one of us is incapacitated, our Trustee shall distribute for: (a) the incapacitated Grantor; (b) others for the Grantor’s benefit; (c) authorized agents; (d) the other Grantor’s HEMS; (e) dependents. Equal consideration shall be given to both Grantors’ needs.</w:t>
      </w:r>
    </w:p>
    <w:p>
      <w:pPr>
        <w:pStyle w:val="Heading2"/>
      </w:pPr>
      <w:r>
        <w:rPr>
          <w:rFonts w:ascii="Arial" w:hAnsi="Arial"/>
          <w:color w:val="2E5090"/>
        </w:rPr>
        <w:t>3.5 Determination of Incapacity</w:t>
      </w:r>
    </w:p>
    <w:p>
      <w:pPr>
        <w:spacing w:after="120"/>
        <w:jc w:val="both"/>
      </w:pPr>
      <w:r>
        <w:rPr>
          <w:rFonts w:ascii="Arial" w:hAnsi="Arial"/>
          <w:sz w:val="22"/>
        </w:rPr>
        <w:t>Incapacity is established by two licensed physicians, court declaration, or unexplained absence exceeding 30 days. Capacity is restored by a physician’s written opinion.</w:t>
      </w:r>
    </w:p>
    <w:p>
      <w:r>
        <w:br w:type="page"/>
      </w:r>
    </w:p>
    <w:p>
      <w:pPr>
        <w:pStyle w:val="Heading1"/>
      </w:pPr>
      <w:r>
        <w:rPr>
          <w:rFonts w:ascii="Arial" w:hAnsi="Arial"/>
          <w:color w:val="1F3864"/>
        </w:rPr>
        <w:t>Article 4: Administration Upon Death of a Grantor</w:t>
      </w:r>
    </w:p>
    <w:p>
      <w:pPr>
        <w:pStyle w:val="Heading2"/>
      </w:pPr>
      <w:r>
        <w:rPr>
          <w:rFonts w:ascii="Arial" w:hAnsi="Arial"/>
          <w:color w:val="2E5090"/>
        </w:rPr>
        <w:t>4.1 Surviving and Deceased Grantor’s Property</w:t>
      </w:r>
    </w:p>
    <w:p>
      <w:pPr>
        <w:spacing w:after="120"/>
        <w:jc w:val="both"/>
      </w:pPr>
      <w:r>
        <w:rPr>
          <w:rFonts w:ascii="Arial" w:hAnsi="Arial"/>
          <w:sz w:val="22"/>
        </w:rPr>
        <w:t>After the first death, the survivor’s interest is the “Survivor’s Trust” (Article 5). The deceased’s interest is the “Deceased Grantor’s Trust Property.”</w:t>
      </w:r>
    </w:p>
    <w:p>
      <w:pPr>
        <w:pStyle w:val="Heading2"/>
      </w:pPr>
      <w:r>
        <w:rPr>
          <w:rFonts w:ascii="Arial" w:hAnsi="Arial"/>
          <w:color w:val="2E5090"/>
        </w:rPr>
        <w:t>4.2 Administrative Trust</w:t>
      </w:r>
    </w:p>
    <w:p>
      <w:pPr>
        <w:spacing w:after="120"/>
        <w:jc w:val="both"/>
      </w:pPr>
      <w:r>
        <w:rPr>
          <w:rFonts w:ascii="Arial" w:hAnsi="Arial"/>
          <w:sz w:val="22"/>
        </w:rPr>
        <w:t>The Trust becomes irrevocable as to the deceased’s property. A separate Tax ID may be needed.</w:t>
      </w:r>
    </w:p>
    <w:p>
      <w:pPr>
        <w:pStyle w:val="Heading2"/>
      </w:pPr>
      <w:r>
        <w:rPr>
          <w:rFonts w:ascii="Arial" w:hAnsi="Arial"/>
          <w:color w:val="2E5090"/>
        </w:rPr>
        <w:t>4.3 Payment of Expenses and Taxes</w:t>
      </w:r>
    </w:p>
    <w:p>
      <w:pPr>
        <w:spacing w:after="120"/>
        <w:jc w:val="both"/>
      </w:pPr>
      <w:r>
        <w:rPr>
          <w:rFonts w:ascii="Arial" w:hAnsi="Arial"/>
          <w:sz w:val="22"/>
        </w:rPr>
        <w:t>Our Trustee shall pay: (a) funeral and memorial expenses; (b) enforceable claims; (c) administration expenses; (d) court-ordered allowances; (e) all taxes including death taxes; (f) any tax-beneficial payments.</w:t>
      </w:r>
    </w:p>
    <w:p>
      <w:pPr>
        <w:pStyle w:val="Heading2"/>
      </w:pPr>
      <w:r>
        <w:rPr>
          <w:rFonts w:ascii="Arial" w:hAnsi="Arial"/>
          <w:color w:val="2E5090"/>
        </w:rPr>
        <w:t>4.4 Distribution of Tangible Personal Property</w:t>
      </w:r>
    </w:p>
    <w:p>
      <w:pPr>
        <w:spacing w:after="120"/>
        <w:jc w:val="both"/>
      </w:pPr>
      <w:r>
        <w:rPr>
          <w:rFonts w:ascii="Arial" w:hAnsi="Arial"/>
          <w:sz w:val="22"/>
        </w:rPr>
        <w:t>Our Trustee shall distribute tangible personal property to our children in substantially equal shares. If unable to agree within six months, the Trustee decides.</w:t>
      </w:r>
    </w:p>
    <w:p>
      <w:pPr>
        <w:spacing w:after="80"/>
        <w:ind w:left="720"/>
        <w:jc w:val="both"/>
      </w:pPr>
      <w:r>
        <w:rPr>
          <w:rFonts w:ascii="Arial" w:hAnsi="Arial"/>
          <w:sz w:val="22"/>
        </w:rPr>
        <w:t>We direct that Coin collection be distributed to Jacob Thomas Anderson.</w:t>
      </w:r>
    </w:p>
    <w:p>
      <w:pPr>
        <w:spacing w:after="80"/>
        <w:ind w:left="720"/>
        <w:jc w:val="both"/>
      </w:pPr>
      <w:r>
        <w:rPr>
          <w:rFonts w:ascii="Arial" w:hAnsi="Arial"/>
          <w:sz w:val="22"/>
        </w:rPr>
        <w:t>We direct that Mother's diamond ring be distributed to Emily Rose Anderson.</w:t>
      </w:r>
    </w:p>
    <w:p>
      <w:pPr>
        <w:spacing w:after="80"/>
        <w:ind w:left="720"/>
        <w:jc w:val="both"/>
      </w:pPr>
      <w:r>
        <w:rPr>
          <w:rFonts w:ascii="Arial" w:hAnsi="Arial"/>
          <w:sz w:val="22"/>
        </w:rPr>
        <w:t>We direct that Grandfather's pocket watch be distributed to Sophia Grace Anderson.</w:t>
      </w:r>
    </w:p>
    <w:p>
      <w:pPr>
        <w:pStyle w:val="Heading2"/>
      </w:pPr>
      <w:r>
        <w:rPr>
          <w:rFonts w:ascii="Arial" w:hAnsi="Arial"/>
          <w:color w:val="2E5090"/>
        </w:rPr>
        <w:t>4.5 Tax Elections and Portability</w:t>
      </w:r>
    </w:p>
    <w:p>
      <w:pPr>
        <w:spacing w:after="120"/>
        <w:jc w:val="both"/>
      </w:pPr>
      <w:r>
        <w:rPr>
          <w:rFonts w:ascii="Arial" w:hAnsi="Arial"/>
          <w:sz w:val="22"/>
        </w:rPr>
        <w:t>Our Trustee may make necessary tax elections. If the deceased’s exclusion is not fully used, our Trustee is nominated as executor for portability under IRC Section 2010(c)(5)(A).</w:t>
      </w:r>
    </w:p>
    <w:p>
      <w:pPr>
        <w:pStyle w:val="Heading2"/>
      </w:pPr>
      <w:r>
        <w:rPr>
          <w:rFonts w:ascii="Arial" w:hAnsi="Arial"/>
          <w:color w:val="2E5090"/>
        </w:rPr>
        <w:t>4.6 Coordination with Personal Representative</w:t>
      </w:r>
    </w:p>
    <w:p>
      <w:pPr>
        <w:spacing w:after="120"/>
        <w:jc w:val="both"/>
      </w:pPr>
      <w:r>
        <w:rPr>
          <w:rFonts w:ascii="Arial" w:hAnsi="Arial"/>
          <w:sz w:val="22"/>
        </w:rPr>
        <w:t>Our Trustee may rely on the Personal Representative’s requests, accept property from probate, and distribute to the probate estate when beneficial.</w:t>
      </w:r>
    </w:p>
    <w:p>
      <w:r>
        <w:br w:type="page"/>
      </w:r>
    </w:p>
    <w:p>
      <w:pPr>
        <w:pStyle w:val="Heading1"/>
      </w:pPr>
      <w:r>
        <w:rPr>
          <w:rFonts w:ascii="Arial" w:hAnsi="Arial"/>
          <w:color w:val="1F3864"/>
        </w:rPr>
        <w:t>Article 5: The Survivor’s Trust</w:t>
      </w:r>
    </w:p>
    <w:p>
      <w:pPr>
        <w:spacing w:after="120"/>
        <w:jc w:val="both"/>
      </w:pPr>
      <w:r>
        <w:rPr>
          <w:rFonts w:ascii="Arial" w:hAnsi="Arial"/>
          <w:sz w:val="22"/>
        </w:rPr>
        <w:t>Our Trustee allocates the deceased’s remaining property to the Survivor’s Trust.</w:t>
      </w:r>
    </w:p>
    <w:p>
      <w:pPr>
        <w:pStyle w:val="Heading2"/>
      </w:pPr>
      <w:r>
        <w:rPr>
          <w:rFonts w:ascii="Arial" w:hAnsi="Arial"/>
          <w:color w:val="2E5090"/>
        </w:rPr>
        <w:t>5.1 Trustee</w:t>
      </w:r>
    </w:p>
    <w:p>
      <w:pPr>
        <w:spacing w:after="120"/>
        <w:jc w:val="both"/>
      </w:pPr>
      <w:r>
        <w:rPr>
          <w:rFonts w:ascii="Arial" w:hAnsi="Arial"/>
          <w:sz w:val="22"/>
        </w:rPr>
        <w:t>The surviving Grantor may serve as sole Trustee and may remove or replace the Trustee at any time.</w:t>
      </w:r>
    </w:p>
    <w:p>
      <w:pPr>
        <w:pStyle w:val="Heading2"/>
      </w:pPr>
      <w:r>
        <w:rPr>
          <w:rFonts w:ascii="Arial" w:hAnsi="Arial"/>
          <w:color w:val="2E5090"/>
        </w:rPr>
        <w:t>5.2 Right to Amend</w:t>
      </w:r>
    </w:p>
    <w:p>
      <w:pPr>
        <w:spacing w:after="120"/>
        <w:jc w:val="both"/>
      </w:pPr>
      <w:r>
        <w:rPr>
          <w:rFonts w:ascii="Arial" w:hAnsi="Arial"/>
          <w:sz w:val="22"/>
        </w:rPr>
        <w:t>Subject to Section 3.2, the surviving Grantor may amend, restate, or revoke the Survivor’s Trust in writing.</w:t>
      </w:r>
    </w:p>
    <w:p>
      <w:pPr>
        <w:pStyle w:val="Heading2"/>
      </w:pPr>
      <w:r>
        <w:rPr>
          <w:rFonts w:ascii="Arial" w:hAnsi="Arial"/>
          <w:color w:val="2E5090"/>
        </w:rPr>
        <w:t>5.3 Income and Principal</w:t>
      </w:r>
    </w:p>
    <w:p>
      <w:pPr>
        <w:spacing w:after="120"/>
        <w:jc w:val="both"/>
      </w:pPr>
      <w:r>
        <w:rPr>
          <w:rFonts w:ascii="Arial" w:hAnsi="Arial"/>
          <w:sz w:val="22"/>
        </w:rPr>
        <w:t>All net income distributed quarter-annually to the surviving Grantor. Principal as the surviving Grantor directs for any reason.</w:t>
      </w:r>
    </w:p>
    <w:p>
      <w:pPr>
        <w:pStyle w:val="Heading2"/>
      </w:pPr>
      <w:r>
        <w:rPr>
          <w:rFonts w:ascii="Arial" w:hAnsi="Arial"/>
          <w:color w:val="2E5090"/>
        </w:rPr>
        <w:t>5.4 Incapacity</w:t>
      </w:r>
    </w:p>
    <w:p>
      <w:pPr>
        <w:spacing w:after="120"/>
        <w:jc w:val="both"/>
      </w:pPr>
      <w:r>
        <w:rPr>
          <w:rFonts w:ascii="Arial" w:hAnsi="Arial"/>
          <w:sz w:val="22"/>
        </w:rPr>
        <w:t>During incapacity, administered per Section 3.4.</w:t>
      </w:r>
    </w:p>
    <w:p>
      <w:pPr>
        <w:pStyle w:val="Heading2"/>
      </w:pPr>
      <w:r>
        <w:rPr>
          <w:rFonts w:ascii="Arial" w:hAnsi="Arial"/>
          <w:color w:val="2E5090"/>
        </w:rPr>
        <w:t>5.5 General Power of Appointment</w:t>
      </w:r>
    </w:p>
    <w:p>
      <w:pPr>
        <w:spacing w:after="120"/>
        <w:jc w:val="both"/>
      </w:pPr>
      <w:r>
        <w:rPr>
          <w:rFonts w:ascii="Arial" w:hAnsi="Arial"/>
          <w:sz w:val="22"/>
        </w:rPr>
        <w:t>The surviving Grantor may appoint all or any portion at death among any persons or entities, including creditors of the estate.</w:t>
      </w:r>
    </w:p>
    <w:p>
      <w:pPr>
        <w:pStyle w:val="Heading2"/>
      </w:pPr>
      <w:r>
        <w:rPr>
          <w:rFonts w:ascii="Arial" w:hAnsi="Arial"/>
          <w:color w:val="2E5090"/>
        </w:rPr>
        <w:t>5.6 After the Surviving Grantor’s Death</w:t>
      </w:r>
    </w:p>
    <w:p>
      <w:pPr>
        <w:spacing w:after="120"/>
        <w:jc w:val="both"/>
      </w:pPr>
      <w:r>
        <w:rPr>
          <w:rFonts w:ascii="Arial" w:hAnsi="Arial"/>
          <w:sz w:val="22"/>
        </w:rPr>
        <w:t>The Survivor’s Trust becomes irrevocable. Administered per Article 4, then the unappointed balance passes per Article 6.</w:t>
      </w:r>
    </w:p>
    <w:p>
      <w:r>
        <w:br w:type="page"/>
      </w:r>
    </w:p>
    <w:p>
      <w:pPr>
        <w:pStyle w:val="Heading1"/>
      </w:pPr>
      <w:r>
        <w:rPr>
          <w:rFonts w:ascii="Arial" w:hAnsi="Arial"/>
          <w:color w:val="1F3864"/>
        </w:rPr>
        <w:t>Article 6: Distribution to Beneficiaries</w:t>
      </w:r>
    </w:p>
    <w:p>
      <w:pPr>
        <w:pStyle w:val="Heading2"/>
      </w:pPr>
      <w:r>
        <w:rPr>
          <w:rFonts w:ascii="Arial" w:hAnsi="Arial"/>
          <w:color w:val="2E5090"/>
        </w:rPr>
        <w:t>6.1 Division of Remaining Property</w:t>
      </w:r>
    </w:p>
    <w:p>
      <w:pPr>
        <w:spacing w:after="120"/>
        <w:jc w:val="both"/>
      </w:pPr>
      <w:r>
        <w:rPr>
          <w:rFonts w:ascii="Arial" w:hAnsi="Arial"/>
          <w:sz w:val="22"/>
        </w:rPr>
        <w:t>Our Trustee divides remaining property as follows: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Arial" w:hAnsi="Arial"/>
                <w:b/>
                <w:sz w:val="20"/>
              </w:rPr>
              <w:t>Name</w:t>
            </w:r>
          </w:p>
        </w:tc>
        <w:tc>
          <w:tcPr>
            <w:tcW w:type="dxa" w:w="2340"/>
          </w:tcPr>
          <w:p>
            <w:r>
              <w:rPr>
                <w:rFonts w:ascii="Arial" w:hAnsi="Arial"/>
                <w:b/>
                <w:sz w:val="20"/>
              </w:rPr>
              <w:t>Relationship</w:t>
            </w:r>
          </w:p>
        </w:tc>
        <w:tc>
          <w:tcPr>
            <w:tcW w:type="dxa" w:w="2340"/>
          </w:tcPr>
          <w:p>
            <w:r>
              <w:rPr>
                <w:rFonts w:ascii="Arial" w:hAnsi="Arial"/>
                <w:b/>
                <w:sz w:val="20"/>
              </w:rPr>
              <w:t>Share</w:t>
            </w:r>
          </w:p>
        </w:tc>
        <w:tc>
          <w:tcPr>
            <w:tcW w:type="dxa" w:w="2340"/>
          </w:tcPr>
          <w:p>
            <w:r>
              <w:rPr>
                <w:rFonts w:ascii="Arial" w:hAnsi="Arial"/>
                <w:b/>
                <w:sz w:val="20"/>
              </w:rPr>
              <w:t>Conditions</w:t>
            </w:r>
          </w:p>
        </w:tc>
      </w:tr>
      <w:tr>
        <w:tc>
          <w:tcPr>
            <w:tcW w:type="dxa" w:w="2340"/>
          </w:tcPr>
          <w:p>
            <w:r>
              <w:rPr>
                <w:rFonts w:ascii="Arial" w:hAnsi="Arial"/>
                <w:sz w:val="20"/>
              </w:rPr>
              <w:t>Emily Rose Anderson</w:t>
            </w:r>
          </w:p>
        </w:tc>
        <w:tc>
          <w:tcPr>
            <w:tcW w:type="dxa" w:w="2340"/>
          </w:tcPr>
          <w:p>
            <w:r>
              <w:rPr>
                <w:rFonts w:ascii="Arial" w:hAnsi="Arial"/>
                <w:sz w:val="20"/>
              </w:rPr>
              <w:t>Daughter</w:t>
            </w:r>
          </w:p>
        </w:tc>
        <w:tc>
          <w:tcPr>
            <w:tcW w:type="dxa" w:w="2340"/>
          </w:tcPr>
          <w:p>
            <w:r>
              <w:rPr>
                <w:rFonts w:ascii="Arial" w:hAnsi="Arial"/>
                <w:sz w:val="20"/>
              </w:rPr>
              <w:t>34%</w:t>
            </w:r>
          </w:p>
        </w:tc>
        <w:tc>
          <w:tcPr>
            <w:tcW w:type="dxa" w:w="2340"/>
          </w:tcPr>
          <w:p>
            <w:r>
              <w:rPr>
                <w:rFonts w:ascii="Arial" w:hAnsi="Arial"/>
                <w:sz w:val="20"/>
              </w:rPr>
            </w:r>
          </w:p>
        </w:tc>
      </w:tr>
      <w:tr>
        <w:tc>
          <w:tcPr>
            <w:tcW w:type="dxa" w:w="2340"/>
          </w:tcPr>
          <w:p>
            <w:r>
              <w:rPr>
                <w:rFonts w:ascii="Arial" w:hAnsi="Arial"/>
                <w:sz w:val="20"/>
              </w:rPr>
              <w:t>Jacob Thomas Anderson</w:t>
            </w:r>
          </w:p>
        </w:tc>
        <w:tc>
          <w:tcPr>
            <w:tcW w:type="dxa" w:w="2340"/>
          </w:tcPr>
          <w:p>
            <w:r>
              <w:rPr>
                <w:rFonts w:ascii="Arial" w:hAnsi="Arial"/>
                <w:sz w:val="20"/>
              </w:rPr>
              <w:t>Son</w:t>
            </w:r>
          </w:p>
        </w:tc>
        <w:tc>
          <w:tcPr>
            <w:tcW w:type="dxa" w:w="2340"/>
          </w:tcPr>
          <w:p>
            <w:r>
              <w:rPr>
                <w:rFonts w:ascii="Arial" w:hAnsi="Arial"/>
                <w:sz w:val="20"/>
              </w:rPr>
              <w:t>33%</w:t>
            </w:r>
          </w:p>
        </w:tc>
        <w:tc>
          <w:tcPr>
            <w:tcW w:type="dxa" w:w="2340"/>
          </w:tcPr>
          <w:p>
            <w:r>
              <w:rPr>
                <w:rFonts w:ascii="Arial" w:hAnsi="Arial"/>
                <w:sz w:val="20"/>
              </w:rPr>
            </w:r>
          </w:p>
        </w:tc>
      </w:tr>
      <w:tr>
        <w:tc>
          <w:tcPr>
            <w:tcW w:type="dxa" w:w="2340"/>
          </w:tcPr>
          <w:p>
            <w:r>
              <w:rPr>
                <w:rFonts w:ascii="Arial" w:hAnsi="Arial"/>
                <w:sz w:val="20"/>
              </w:rPr>
              <w:t>Sophia Grace Anderson</w:t>
            </w:r>
          </w:p>
        </w:tc>
        <w:tc>
          <w:tcPr>
            <w:tcW w:type="dxa" w:w="2340"/>
          </w:tcPr>
          <w:p>
            <w:r>
              <w:rPr>
                <w:rFonts w:ascii="Arial" w:hAnsi="Arial"/>
                <w:sz w:val="20"/>
              </w:rPr>
              <w:t>Daughter</w:t>
            </w:r>
          </w:p>
        </w:tc>
        <w:tc>
          <w:tcPr>
            <w:tcW w:type="dxa" w:w="2340"/>
          </w:tcPr>
          <w:p>
            <w:r>
              <w:rPr>
                <w:rFonts w:ascii="Arial" w:hAnsi="Arial"/>
                <w:sz w:val="20"/>
              </w:rPr>
              <w:t>33%</w:t>
            </w:r>
          </w:p>
        </w:tc>
        <w:tc>
          <w:tcPr>
            <w:tcW w:type="dxa" w:w="2340"/>
          </w:tcPr>
          <w:p>
            <w:r>
              <w:rPr>
                <w:rFonts w:ascii="Arial" w:hAnsi="Arial"/>
                <w:sz w:val="20"/>
              </w:rPr>
            </w:r>
          </w:p>
        </w:tc>
      </w:tr>
    </w:tbl>
    <w:p/>
    <w:p>
      <w:pPr>
        <w:pStyle w:val="Heading2"/>
      </w:pPr>
      <w:r>
        <w:rPr>
          <w:rFonts w:ascii="Arial" w:hAnsi="Arial"/>
          <w:color w:val="2E5090"/>
        </w:rPr>
        <w:t>6.2 Standard Distribution Terms</w:t>
      </w:r>
    </w:p>
    <w:p>
      <w:pPr>
        <w:spacing w:after="120"/>
        <w:jc w:val="both"/>
      </w:pPr>
      <w:r>
        <w:rPr>
          <w:rFonts w:ascii="Arial" w:hAnsi="Arial"/>
          <w:sz w:val="22"/>
        </w:rPr>
        <w:t>Our Trustee shall distribute income and principal as determined necessary for each beneficiary’s health, education, maintenance, or support. Undistributed income added to principal.</w:t>
      </w:r>
    </w:p>
    <w:p>
      <w:pPr>
        <w:spacing w:after="120"/>
        <w:jc w:val="both"/>
      </w:pPr>
      <w:r>
        <w:rPr>
          <w:rFonts w:ascii="Arial" w:hAnsi="Arial"/>
          <w:sz w:val="22"/>
        </w:rPr>
        <w:t>We request our Trustee be liberal in making distributions, considering the beneficiary’s other known resources. Principal may be exhausted.</w:t>
      </w:r>
    </w:p>
    <w:p>
      <w:pPr>
        <w:spacing w:after="120"/>
        <w:jc w:val="both"/>
      </w:pPr>
      <w:r>
        <w:rPr>
          <w:rFonts w:ascii="Arial" w:hAnsi="Arial"/>
          <w:sz w:val="22"/>
        </w:rPr>
        <w:t>At the intervals below, the beneficiary may withdraw amounts not exceeding:</w:t>
        <w:br/>
        <w:br/>
        <w:t xml:space="preserve">    (a) 50% of accumulated trust income and principal, 1 year after funding;</w:t>
        <w:br/>
        <w:br/>
        <w:t xml:space="preserve">    (b) increased by 25% of accumulated trust income and principal not already subject to withdrawal, 3 years after funding;</w:t>
        <w:br/>
        <w:br/>
        <w:t xml:space="preserve">    (c) increased by 25% of accumulated trust income and principal not already subject to withdrawal, 5 years after funding;</w:t>
        <w:br/>
        <w:br/>
        <w:t>These rights are cumulative. A beneficiary exercises this right by written notice to our Trustee. This right may not be subject to creditor claims or legal process, and may not be alienated or encumbered.</w:t>
      </w:r>
    </w:p>
    <w:p>
      <w:pPr>
        <w:pStyle w:val="Heading2"/>
      </w:pPr>
      <w:r>
        <w:rPr>
          <w:rFonts w:ascii="Arial" w:hAnsi="Arial"/>
          <w:color w:val="2E5090"/>
        </w:rPr>
        <w:t>6.3 If a Beneficiary Is Deceased</w:t>
      </w:r>
    </w:p>
    <w:p>
      <w:pPr>
        <w:spacing w:after="120"/>
        <w:jc w:val="both"/>
      </w:pPr>
      <w:r>
        <w:rPr>
          <w:rFonts w:ascii="Arial" w:hAnsi="Arial"/>
          <w:sz w:val="22"/>
        </w:rPr>
        <w:t>The deceased beneficiary’s share passes per stirpes to their descendants, then to our descendants, then per Article 7.</w:t>
      </w:r>
    </w:p>
    <w:p>
      <w:r>
        <w:br w:type="page"/>
      </w:r>
    </w:p>
    <w:p>
      <w:pPr>
        <w:pStyle w:val="Heading1"/>
      </w:pPr>
      <w:r>
        <w:rPr>
          <w:rFonts w:ascii="Arial" w:hAnsi="Arial"/>
          <w:color w:val="1F3864"/>
        </w:rPr>
        <w:t>Article 7: Remote Contingent Distribution</w:t>
      </w:r>
    </w:p>
    <w:p>
      <w:pPr>
        <w:spacing w:after="120"/>
        <w:jc w:val="both"/>
      </w:pPr>
      <w:r>
        <w:rPr>
          <w:rFonts w:ascii="Arial" w:hAnsi="Arial"/>
          <w:sz w:val="22"/>
        </w:rPr>
        <w:t>If no one is qualified to receive distribution, property passes per Illinois intestacy laws.</w:t>
      </w:r>
    </w:p>
    <w:p>
      <w:pPr>
        <w:pStyle w:val="Heading1"/>
      </w:pPr>
      <w:r>
        <w:rPr>
          <w:rFonts w:ascii="Arial" w:hAnsi="Arial"/>
          <w:color w:val="1F3864"/>
        </w:rPr>
        <w:t>Article 8: Underage and Incapacitated Beneficiaries</w:t>
      </w:r>
    </w:p>
    <w:p>
      <w:pPr>
        <w:spacing w:after="120"/>
        <w:jc w:val="both"/>
      </w:pPr>
      <w:r>
        <w:rPr>
          <w:rFonts w:ascii="Arial" w:hAnsi="Arial"/>
          <w:sz w:val="22"/>
        </w:rPr>
        <w:t>For beneficiaries under 18 or incapacitated, our Trustee may distribute directly, to a guardian, as UTMA custodian, or to an agent. Alternatively, property may be retained in a separate trust for HEMS distributions. Upon reaching 18 or restoration of capacity, the beneficiary may withdraw all accumulated income and principal.</w:t>
      </w:r>
    </w:p>
    <w:p>
      <w:r>
        <w:br w:type="page"/>
      </w:r>
    </w:p>
    <w:p>
      <w:pPr>
        <w:pStyle w:val="Heading1"/>
      </w:pPr>
      <w:r>
        <w:rPr>
          <w:rFonts w:ascii="Arial" w:hAnsi="Arial"/>
          <w:color w:val="1F3864"/>
        </w:rPr>
        <w:t>Article 9: Retirement Plans and Life Insurance</w:t>
      </w:r>
    </w:p>
    <w:p>
      <w:pPr>
        <w:pStyle w:val="Heading2"/>
      </w:pPr>
      <w:r>
        <w:rPr>
          <w:rFonts w:ascii="Arial" w:hAnsi="Arial"/>
          <w:color w:val="2E5090"/>
        </w:rPr>
        <w:t>9.1 Retirement Plans</w:t>
      </w:r>
    </w:p>
    <w:p>
      <w:pPr>
        <w:spacing w:after="120"/>
        <w:jc w:val="both"/>
      </w:pPr>
      <w:r>
        <w:rPr>
          <w:rFonts w:ascii="Arial" w:hAnsi="Arial"/>
          <w:sz w:val="22"/>
        </w:rPr>
        <w:t>Our Trustee may determine manner and timing of retirement plan payments consistent with IRC Section 401(a)(9). Our Trustee may not change plan beneficiaries.</w:t>
      </w:r>
    </w:p>
    <w:p>
      <w:pPr>
        <w:pStyle w:val="Heading2"/>
      </w:pPr>
      <w:r>
        <w:rPr>
          <w:rFonts w:ascii="Arial" w:hAnsi="Arial"/>
          <w:color w:val="2E5090"/>
        </w:rPr>
        <w:t>9.2 Life Insurance</w:t>
      </w:r>
    </w:p>
    <w:p>
      <w:pPr>
        <w:spacing w:after="120"/>
        <w:jc w:val="both"/>
      </w:pPr>
      <w:r>
        <w:rPr>
          <w:rFonts w:ascii="Arial" w:hAnsi="Arial"/>
          <w:sz w:val="22"/>
        </w:rPr>
        <w:t>During our lives, each reserves all rights over insurance policies. After death, our Trustee collects proceeds payable to the Trust. Proceeds must never become part of our probate estate.</w:t>
      </w:r>
    </w:p>
    <w:p>
      <w:r>
        <w:br w:type="page"/>
      </w:r>
    </w:p>
    <w:p>
      <w:pPr>
        <w:pStyle w:val="Heading1"/>
      </w:pPr>
      <w:r>
        <w:rPr>
          <w:rFonts w:ascii="Arial" w:hAnsi="Arial"/>
          <w:color w:val="1F3864"/>
        </w:rPr>
        <w:t>Article 10: Trust Administration</w:t>
      </w:r>
    </w:p>
    <w:p>
      <w:pPr>
        <w:pStyle w:val="Heading2"/>
      </w:pPr>
      <w:r>
        <w:rPr>
          <w:rFonts w:ascii="Arial" w:hAnsi="Arial"/>
          <w:color w:val="2E5090"/>
        </w:rPr>
        <w:t>10.1 Distributions</w:t>
      </w:r>
    </w:p>
    <w:p>
      <w:pPr>
        <w:spacing w:after="120"/>
        <w:jc w:val="both"/>
      </w:pPr>
      <w:r>
        <w:rPr>
          <w:rFonts w:ascii="Arial" w:hAnsi="Arial"/>
          <w:sz w:val="22"/>
        </w:rPr>
        <w:t>Our Trustee may make cash, in-kind, or mixed distributions in any proportion without regard to tax attributes or beneficiary consent.</w:t>
      </w:r>
    </w:p>
    <w:p>
      <w:pPr>
        <w:pStyle w:val="Heading2"/>
      </w:pPr>
      <w:r>
        <w:rPr>
          <w:rFonts w:ascii="Arial" w:hAnsi="Arial"/>
          <w:color w:val="2E5090"/>
        </w:rPr>
        <w:t>10.2 No Court Proceedings; No Bond</w:t>
      </w:r>
    </w:p>
    <w:p>
      <w:pPr>
        <w:spacing w:after="120"/>
        <w:jc w:val="both"/>
      </w:pPr>
      <w:r>
        <w:rPr>
          <w:rFonts w:ascii="Arial" w:hAnsi="Arial"/>
          <w:sz w:val="22"/>
        </w:rPr>
        <w:t>Our Trustee shall administer with efficiency and freedom from judicial intervention. No bond is required.</w:t>
      </w:r>
    </w:p>
    <w:p>
      <w:pPr>
        <w:spacing w:after="120"/>
        <w:jc w:val="both"/>
      </w:pPr>
      <w:r>
        <w:rPr>
          <w:rFonts w:ascii="Arial" w:hAnsi="Arial"/>
          <w:sz w:val="22"/>
        </w:rPr>
        <w:t>Disputes should be resolved by mediation, then arbitration per the Uniform Arbitration Act.</w:t>
      </w:r>
    </w:p>
    <w:p>
      <w:pPr>
        <w:pStyle w:val="Heading2"/>
      </w:pPr>
      <w:r>
        <w:rPr>
          <w:rFonts w:ascii="Arial" w:hAnsi="Arial"/>
          <w:color w:val="2E5090"/>
        </w:rPr>
        <w:t>10.3 Trustee Compensation</w:t>
      </w:r>
    </w:p>
    <w:p>
      <w:pPr>
        <w:spacing w:after="120"/>
        <w:jc w:val="both"/>
      </w:pPr>
      <w:r>
        <w:rPr>
          <w:rFonts w:ascii="Arial" w:hAnsi="Arial"/>
          <w:sz w:val="22"/>
        </w:rPr>
        <w:t>Individual Trustees receive fair and reasonable compensation. Corporate fiduciaries per their fee schedule. All may be reimbursed.</w:t>
      </w:r>
    </w:p>
    <w:p>
      <w:pPr>
        <w:pStyle w:val="Heading2"/>
      </w:pPr>
      <w:r>
        <w:rPr>
          <w:rFonts w:ascii="Arial" w:hAnsi="Arial"/>
          <w:color w:val="2E5090"/>
        </w:rPr>
        <w:t>10.4 Accounting</w:t>
      </w:r>
    </w:p>
    <w:p>
      <w:pPr>
        <w:spacing w:after="120"/>
        <w:jc w:val="both"/>
      </w:pPr>
      <w:r>
        <w:rPr>
          <w:rFonts w:ascii="Arial" w:hAnsi="Arial"/>
          <w:sz w:val="22"/>
        </w:rPr>
        <w:t>After the first death, annual accounting to Income Beneficiaries unless waived. Objections within 60 days. Records available at reasonable times.</w:t>
      </w:r>
    </w:p>
    <w:p>
      <w:pPr>
        <w:pStyle w:val="Heading2"/>
      </w:pPr>
      <w:r>
        <w:rPr>
          <w:rFonts w:ascii="Arial" w:hAnsi="Arial"/>
          <w:color w:val="2E5090"/>
        </w:rPr>
        <w:t>10.5 Liability Limitations</w:t>
      </w:r>
    </w:p>
    <w:p>
      <w:pPr>
        <w:spacing w:after="120"/>
        <w:jc w:val="both"/>
      </w:pPr>
      <w:r>
        <w:rPr>
          <w:rFonts w:ascii="Arial" w:hAnsi="Arial"/>
          <w:sz w:val="22"/>
        </w:rPr>
        <w:t>No Trustee liability unless bad faith shown by clear and convincing evidence.</w:t>
      </w:r>
    </w:p>
    <w:p>
      <w:pPr>
        <w:pStyle w:val="Heading2"/>
      </w:pPr>
      <w:r>
        <w:rPr>
          <w:rFonts w:ascii="Arial" w:hAnsi="Arial"/>
          <w:color w:val="2E5090"/>
        </w:rPr>
        <w:t>10.6 Merge, Sever, or Terminate Trusts</w:t>
      </w:r>
    </w:p>
    <w:p>
      <w:pPr>
        <w:spacing w:after="120"/>
        <w:jc w:val="both"/>
      </w:pPr>
      <w:r>
        <w:rPr>
          <w:rFonts w:ascii="Arial" w:hAnsi="Arial"/>
          <w:sz w:val="22"/>
        </w:rPr>
        <w:t>Our Trustee may merge, sever, or terminate trusts when economical. Terminated trust property distributed to: us if living; surviving Grantor; mandatory income beneficiaries; then discretionary income beneficiaries.</w:t>
      </w:r>
    </w:p>
    <w:p>
      <w:r>
        <w:br w:type="page"/>
      </w:r>
    </w:p>
    <w:p>
      <w:pPr>
        <w:pStyle w:val="Heading1"/>
      </w:pPr>
      <w:r>
        <w:rPr>
          <w:rFonts w:ascii="Arial" w:hAnsi="Arial"/>
          <w:color w:val="1F3864"/>
        </w:rPr>
        <w:t>Article 11: Trustee’s Powers</w:t>
      </w:r>
    </w:p>
    <w:p>
      <w:pPr>
        <w:spacing w:after="120"/>
        <w:jc w:val="both"/>
      </w:pPr>
      <w:r>
        <w:rPr>
          <w:rFonts w:ascii="Arial" w:hAnsi="Arial"/>
          <w:sz w:val="22"/>
        </w:rPr>
        <w:t>Our Trustee has all powers granted by this Trust and Illinois law, including the Illinois Trust Code (760 ILCS 3/101, et seq.), incorporated herein. Powers include: invest, bank, conduct business, sell/transfer, contract, manage real estate, acquire residences, retain property, borrow, hold in nominee form, insure, settle claims, execute documents.</w:t>
      </w:r>
    </w:p>
    <w:p>
      <w:pPr>
        <w:pStyle w:val="Heading2"/>
      </w:pPr>
      <w:r>
        <w:rPr>
          <w:rFonts w:ascii="Arial" w:hAnsi="Arial"/>
          <w:color w:val="2E5090"/>
        </w:rPr>
        <w:t>11.1 Limitations</w:t>
      </w:r>
    </w:p>
    <w:p>
      <w:pPr>
        <w:spacing w:after="120"/>
        <w:jc w:val="both"/>
      </w:pPr>
      <w:r>
        <w:rPr>
          <w:rFonts w:ascii="Arial" w:hAnsi="Arial"/>
          <w:sz w:val="22"/>
        </w:rPr>
        <w:t>An Interested Trustee is limited to HEMS distributions per IRC Sections 2041 and 2514. When prohibited from acting, an Independent Special Trustee may be appointed. No Trustee may discharge their own legal obligations. These limitations do not apply while either of us serves as Trustee of the Survivor’s Trust.</w:t>
      </w:r>
    </w:p>
    <w:p>
      <w:r>
        <w:br w:type="page"/>
      </w:r>
    </w:p>
    <w:p>
      <w:pPr>
        <w:pStyle w:val="Heading1"/>
      </w:pPr>
      <w:r>
        <w:rPr>
          <w:rFonts w:ascii="Arial" w:hAnsi="Arial"/>
          <w:color w:val="1F3864"/>
        </w:rPr>
        <w:t>Article 12: General Provisions</w:t>
      </w:r>
    </w:p>
    <w:p>
      <w:pPr>
        <w:pStyle w:val="Heading2"/>
      </w:pPr>
      <w:r>
        <w:rPr>
          <w:rFonts w:ascii="Arial" w:hAnsi="Arial"/>
          <w:color w:val="2E5090"/>
        </w:rPr>
        <w:t>12.1 Maximum Term</w:t>
      </w:r>
    </w:p>
    <w:p>
      <w:pPr>
        <w:spacing w:after="120"/>
        <w:jc w:val="both"/>
      </w:pPr>
      <w:r>
        <w:rPr>
          <w:rFonts w:ascii="Arial" w:hAnsi="Arial"/>
          <w:sz w:val="22"/>
        </w:rPr>
        <w:t>Each trust terminates 21 years after the death of the last descendant of our grandparents living at the time of the first of us to die.</w:t>
      </w:r>
    </w:p>
    <w:p>
      <w:pPr>
        <w:pStyle w:val="Heading2"/>
      </w:pPr>
      <w:r>
        <w:rPr>
          <w:rFonts w:ascii="Arial" w:hAnsi="Arial"/>
          <w:color w:val="2E5090"/>
        </w:rPr>
        <w:t>12.2 Spendthrift Provision</w:t>
      </w:r>
    </w:p>
    <w:p>
      <w:pPr>
        <w:spacing w:after="120"/>
        <w:jc w:val="both"/>
      </w:pPr>
      <w:r>
        <w:rPr>
          <w:rFonts w:ascii="Arial" w:hAnsi="Arial"/>
          <w:sz w:val="22"/>
        </w:rPr>
        <w:t>All trusts are spendthrift trusts. No beneficiary may assign, anticipate, or encumber any interest. Neither income nor principal is subject to creditors or involuntary transfer.</w:t>
      </w:r>
    </w:p>
    <w:p>
      <w:pPr>
        <w:pStyle w:val="Heading2"/>
      </w:pPr>
      <w:r>
        <w:rPr>
          <w:rFonts w:ascii="Arial" w:hAnsi="Arial"/>
          <w:color w:val="2E5090"/>
        </w:rPr>
        <w:t>12.3 Contest Provision</w:t>
      </w:r>
    </w:p>
    <w:p>
      <w:pPr>
        <w:spacing w:after="120"/>
        <w:jc w:val="both"/>
      </w:pPr>
      <w:r>
        <w:rPr>
          <w:rFonts w:ascii="Arial" w:hAnsi="Arial"/>
          <w:sz w:val="22"/>
        </w:rPr>
        <w:t>Any person who contests this Trust forfeits their share and is deemed to have predeceased the last of us.</w:t>
      </w:r>
    </w:p>
    <w:p>
      <w:pPr>
        <w:pStyle w:val="Heading2"/>
      </w:pPr>
      <w:r>
        <w:rPr>
          <w:rFonts w:ascii="Arial" w:hAnsi="Arial"/>
          <w:color w:val="2E5090"/>
        </w:rPr>
        <w:t>12.4 Survivorship Presumption</w:t>
      </w:r>
    </w:p>
    <w:p>
      <w:pPr>
        <w:spacing w:after="120"/>
        <w:jc w:val="both"/>
      </w:pPr>
      <w:r>
        <w:rPr>
          <w:rFonts w:ascii="Arial" w:hAnsi="Arial"/>
          <w:sz w:val="22"/>
        </w:rPr>
        <w:t>If we die simultaneously, each is deemed to have predeceased the other. A beneficiary dying within 30 days of a Grantor is deemed to have predeceased the Grantor.</w:t>
      </w:r>
    </w:p>
    <w:p>
      <w:pPr>
        <w:pStyle w:val="Heading2"/>
      </w:pPr>
      <w:r>
        <w:rPr>
          <w:rFonts w:ascii="Arial" w:hAnsi="Arial"/>
          <w:color w:val="2E5090"/>
        </w:rPr>
        <w:t>12.5 Definitions</w:t>
      </w:r>
    </w:p>
    <w:p>
      <w:pPr>
        <w:spacing w:after="80"/>
      </w:pPr>
      <w:r>
        <w:rPr>
          <w:rFonts w:ascii="Arial" w:hAnsi="Arial"/>
          <w:b/>
          <w:sz w:val="22"/>
        </w:rPr>
        <w:t xml:space="preserve">Adopted Persons: </w:t>
      </w:r>
      <w:r>
        <w:rPr>
          <w:rFonts w:ascii="Arial" w:hAnsi="Arial"/>
          <w:sz w:val="22"/>
        </w:rPr>
        <w:t>Legally adopted before 18 have same rights as natural children.</w:t>
      </w:r>
    </w:p>
    <w:p>
      <w:pPr>
        <w:spacing w:after="80"/>
      </w:pPr>
      <w:r>
        <w:rPr>
          <w:rFonts w:ascii="Arial" w:hAnsi="Arial"/>
          <w:b/>
          <w:sz w:val="22"/>
        </w:rPr>
        <w:t xml:space="preserve">Descendants: </w:t>
      </w:r>
      <w:r>
        <w:rPr>
          <w:rFonts w:ascii="Arial" w:hAnsi="Arial"/>
          <w:sz w:val="22"/>
        </w:rPr>
        <w:t>Children, grandchildren, etc. Not nieces or nephews.</w:t>
      </w:r>
    </w:p>
    <w:p>
      <w:pPr>
        <w:spacing w:after="80"/>
      </w:pPr>
      <w:r>
        <w:rPr>
          <w:rFonts w:ascii="Arial" w:hAnsi="Arial"/>
          <w:b/>
          <w:sz w:val="22"/>
        </w:rPr>
        <w:t xml:space="preserve">Education: </w:t>
      </w:r>
      <w:r>
        <w:rPr>
          <w:rFonts w:ascii="Arial" w:hAnsi="Arial"/>
          <w:sz w:val="22"/>
        </w:rPr>
        <w:t>An ascertainable standard: schooling, college, vocational, tuition, room, board, fees.</w:t>
      </w:r>
    </w:p>
    <w:p>
      <w:pPr>
        <w:spacing w:after="80"/>
      </w:pPr>
      <w:r>
        <w:rPr>
          <w:rFonts w:ascii="Arial" w:hAnsi="Arial"/>
          <w:b/>
          <w:sz w:val="22"/>
        </w:rPr>
        <w:t xml:space="preserve">Grantor: </w:t>
      </w:r>
      <w:r>
        <w:rPr>
          <w:rFonts w:ascii="Arial" w:hAnsi="Arial"/>
          <w:sz w:val="22"/>
        </w:rPr>
        <w:t>Same as Settlor or Trustor.</w:t>
      </w:r>
    </w:p>
    <w:p>
      <w:pPr>
        <w:spacing w:after="80"/>
      </w:pPr>
      <w:r>
        <w:rPr>
          <w:rFonts w:ascii="Arial" w:hAnsi="Arial"/>
          <w:b/>
          <w:sz w:val="22"/>
        </w:rPr>
        <w:t xml:space="preserve">Incapacity: </w:t>
      </w:r>
      <w:r>
        <w:rPr>
          <w:rFonts w:ascii="Arial" w:hAnsi="Arial"/>
          <w:sz w:val="22"/>
        </w:rPr>
        <w:t>As defined in Section 3.5.</w:t>
      </w:r>
    </w:p>
    <w:p>
      <w:pPr>
        <w:spacing w:after="80"/>
      </w:pPr>
      <w:r>
        <w:rPr>
          <w:rFonts w:ascii="Arial" w:hAnsi="Arial"/>
          <w:b/>
          <w:sz w:val="22"/>
        </w:rPr>
        <w:t xml:space="preserve">Income Beneficiary: </w:t>
      </w:r>
      <w:r>
        <w:rPr>
          <w:rFonts w:ascii="Arial" w:hAnsi="Arial"/>
          <w:sz w:val="22"/>
        </w:rPr>
        <w:t>Beneficiary entitled to net income distributions.</w:t>
      </w:r>
    </w:p>
    <w:p>
      <w:pPr>
        <w:spacing w:after="80"/>
      </w:pPr>
      <w:r>
        <w:rPr>
          <w:rFonts w:ascii="Arial" w:hAnsi="Arial"/>
          <w:b/>
          <w:sz w:val="22"/>
        </w:rPr>
        <w:t xml:space="preserve">Independent Trustee: </w:t>
      </w:r>
      <w:r>
        <w:rPr>
          <w:rFonts w:ascii="Arial" w:hAnsi="Arial"/>
          <w:sz w:val="22"/>
        </w:rPr>
        <w:t>Not related or subordinate per IRC Section 672(c).</w:t>
      </w:r>
    </w:p>
    <w:p>
      <w:pPr>
        <w:spacing w:after="80"/>
      </w:pPr>
      <w:r>
        <w:rPr>
          <w:rFonts w:ascii="Arial" w:hAnsi="Arial"/>
          <w:b/>
          <w:sz w:val="22"/>
        </w:rPr>
        <w:t xml:space="preserve">Per Stirpes: </w:t>
      </w:r>
      <w:r>
        <w:rPr>
          <w:rFonts w:ascii="Arial" w:hAnsi="Arial"/>
          <w:sz w:val="22"/>
        </w:rPr>
        <w:t>Divided among children and deceased children’s descendants equally.</w:t>
      </w:r>
    </w:p>
    <w:p>
      <w:pPr>
        <w:pStyle w:val="Heading2"/>
      </w:pPr>
      <w:r>
        <w:rPr>
          <w:rFonts w:ascii="Arial" w:hAnsi="Arial"/>
          <w:color w:val="2E5090"/>
        </w:rPr>
        <w:t>12.6 Rules of Construction</w:t>
      </w:r>
    </w:p>
    <w:p>
      <w:pPr>
        <w:spacing w:after="120"/>
        <w:jc w:val="both"/>
      </w:pPr>
      <w:r>
        <w:rPr>
          <w:rFonts w:ascii="Arial" w:hAnsi="Arial"/>
          <w:sz w:val="22"/>
        </w:rPr>
        <w:t>Executed in counterparts. Governed by Illinois law. Headings for convenience. Notices in writing. Invalid provisions do not affect others. No antilapse statutes apply.</w:t>
      </w:r>
    </w:p>
    <w:p>
      <w:r>
        <w:br w:type="page"/>
      </w:r>
    </w:p>
    <w:p>
      <w:pPr>
        <w:pStyle w:val="Heading1"/>
      </w:pPr>
      <w:r>
        <w:rPr>
          <w:rFonts w:ascii="Arial" w:hAnsi="Arial"/>
          <w:color w:val="1F3864"/>
        </w:rPr>
        <w:t>Execution</w:t>
      </w:r>
    </w:p>
    <w:p>
      <w:pPr>
        <w:spacing w:after="120"/>
        <w:jc w:val="both"/>
      </w:pPr>
      <w:r>
        <w:rPr>
          <w:rFonts w:ascii="Arial" w:hAnsi="Arial"/>
          <w:sz w:val="22"/>
        </w:rPr>
        <w:t>Executed on February 15, 2026. Effective when signed by us.</w:t>
      </w:r>
    </w:p>
    <w:p/>
    <w:p/>
    <w:p/>
    <w:p>
      <w:pPr>
        <w:spacing w:after="120"/>
        <w:jc w:val="both"/>
      </w:pPr>
      <w:r>
        <w:rPr>
          <w:rFonts w:ascii="Arial" w:hAnsi="Arial"/>
          <w:sz w:val="22"/>
        </w:rPr>
        <w:t>________________________________________</w:t>
      </w:r>
    </w:p>
    <w:p>
      <w:pPr>
        <w:spacing w:after="120"/>
        <w:jc w:val="both"/>
      </w:pPr>
      <w:r>
        <w:rPr>
          <w:rFonts w:ascii="Arial" w:hAnsi="Arial"/>
          <w:sz w:val="22"/>
        </w:rPr>
        <w:t>Robert James Anderson, Grantor and Trustee</w:t>
      </w:r>
    </w:p>
    <w:p/>
    <w:p/>
    <w:p>
      <w:pPr>
        <w:spacing w:after="120"/>
        <w:jc w:val="both"/>
      </w:pPr>
      <w:r>
        <w:rPr>
          <w:rFonts w:ascii="Arial" w:hAnsi="Arial"/>
          <w:sz w:val="22"/>
        </w:rPr>
        <w:t>________________________________________</w:t>
      </w:r>
    </w:p>
    <w:p>
      <w:pPr>
        <w:spacing w:after="120"/>
        <w:jc w:val="both"/>
      </w:pPr>
      <w:r>
        <w:rPr>
          <w:rFonts w:ascii="Arial" w:hAnsi="Arial"/>
          <w:sz w:val="22"/>
        </w:rPr>
        <w:t>Michelle Lynn Anderson, Grantor and Trustee</w:t>
      </w:r>
    </w:p>
    <w:p/>
    <w:p/>
    <w:p>
      <w:pPr>
        <w:spacing w:after="120"/>
        <w:jc w:val="both"/>
      </w:pPr>
      <w:r>
        <w:rPr>
          <w:rFonts w:ascii="Arial" w:hAnsi="Arial"/>
          <w:sz w:val="22"/>
        </w:rPr>
        <w:t>STATE OF ILLINOIS )</w:t>
      </w:r>
    </w:p>
    <w:p>
      <w:pPr>
        <w:spacing w:after="120"/>
        <w:jc w:val="both"/>
      </w:pPr>
      <w:r>
        <w:rPr>
          <w:rFonts w:ascii="Arial" w:hAnsi="Arial"/>
          <w:sz w:val="22"/>
        </w:rPr>
        <w:t>) ss.</w:t>
      </w:r>
    </w:p>
    <w:p>
      <w:pPr>
        <w:spacing w:after="120"/>
        <w:jc w:val="both"/>
      </w:pPr>
      <w:r>
        <w:rPr>
          <w:rFonts w:ascii="Arial" w:hAnsi="Arial"/>
          <w:sz w:val="22"/>
        </w:rPr>
        <w:t>COUNTY OF WINNEBAGO )</w:t>
      </w:r>
    </w:p>
    <w:p/>
    <w:p>
      <w:pPr>
        <w:spacing w:after="120"/>
        <w:jc w:val="both"/>
      </w:pPr>
      <w:r>
        <w:rPr>
          <w:rFonts w:ascii="Arial" w:hAnsi="Arial"/>
          <w:sz w:val="22"/>
        </w:rPr>
        <w:t>Acknowledged before me on February 15, 2026, by Robert James Anderson, as Grantor and Trustee, and Michelle Lynn Anderson, as Grantor and Trustee.</w:t>
      </w:r>
    </w:p>
    <w:p/>
    <w:p/>
    <w:p>
      <w:pPr>
        <w:spacing w:after="120"/>
        <w:jc w:val="both"/>
      </w:pPr>
      <w:r>
        <w:rPr>
          <w:rFonts w:ascii="Arial" w:hAnsi="Arial"/>
          <w:sz w:val="22"/>
        </w:rPr>
        <w:t>[Seal]</w:t>
      </w:r>
    </w:p>
    <w:p/>
    <w:p>
      <w:pPr>
        <w:spacing w:after="120"/>
        <w:jc w:val="both"/>
      </w:pPr>
      <w:r>
        <w:rPr>
          <w:rFonts w:ascii="Arial" w:hAnsi="Arial"/>
          <w:sz w:val="22"/>
        </w:rPr>
        <w:t>________________________________________</w:t>
      </w:r>
    </w:p>
    <w:p>
      <w:pPr>
        <w:spacing w:after="120"/>
        <w:jc w:val="both"/>
      </w:pPr>
      <w:r>
        <w:rPr>
          <w:rFonts w:ascii="Arial" w:hAnsi="Arial"/>
          <w:sz w:val="22"/>
        </w:rPr>
        <w:t>Notary Public</w:t>
      </w:r>
    </w:p>
    <w:p>
      <w:pPr>
        <w:spacing w:after="120"/>
        <w:jc w:val="both"/>
      </w:pPr>
      <w:r>
        <w:rPr>
          <w:rFonts w:ascii="Arial" w:hAnsi="Arial"/>
          <w:sz w:val="22"/>
        </w:rPr>
        <w:t>My commission expires: _______________</w:t>
      </w:r>
    </w:p>
    <w:p>
      <w:r>
        <w:br w:type="page"/>
      </w:r>
    </w:p>
    <w:p>
      <w:pPr>
        <w:pStyle w:val="Heading1"/>
      </w:pPr>
      <w:r>
        <w:rPr>
          <w:rFonts w:ascii="Arial" w:hAnsi="Arial"/>
          <w:color w:val="1F3864"/>
        </w:rPr>
        <w:t>Schedule A: Communal Property</w:t>
      </w:r>
    </w:p>
    <w:p>
      <w:pPr>
        <w:spacing w:after="120"/>
        <w:jc w:val="both"/>
      </w:pPr>
      <w:r>
        <w:rPr>
          <w:rFonts w:ascii="Arial" w:hAnsi="Arial"/>
          <w:sz w:val="22"/>
        </w:rPr>
        <w:t>Transferred to this Trust:</w:t>
      </w:r>
    </w:p>
    <w:p/>
    <w:p>
      <w:pPr>
        <w:spacing w:after="120"/>
        <w:jc w:val="both"/>
      </w:pPr>
      <w:r>
        <w:rPr>
          <w:rFonts w:ascii="Arial" w:hAnsi="Arial"/>
          <w:sz w:val="22"/>
        </w:rPr>
        <w:t>Ten Dollars Cash</w:t>
      </w:r>
    </w:p>
    <w:p>
      <w:r>
        <w:rPr>
          <w:rFonts w:ascii="Arial" w:hAnsi="Arial"/>
          <w:b/>
          <w:color w:val="CC0000"/>
          <w:sz w:val="20"/>
          <w:highlight w:val="yellow"/>
        </w:rPr>
        <w:t>*** MANUAL REVIEW: Additional communal property ***</w:t>
      </w:r>
    </w:p>
    <w:p>
      <w:r>
        <w:rPr>
          <w:highlight w:val="red"/>
        </w:rPr>
        <w:t xml:space="preserve"> </w:t>
      </w:r>
    </w:p>
    <w:p>
      <w:r>
        <w:rPr>
          <w:highlight w:val="red"/>
        </w:rPr>
        <w:t xml:space="preserve"> </w:t>
      </w:r>
    </w:p>
    <w:p>
      <w:r>
        <w:rPr>
          <w:highlight w:val="red"/>
        </w:rPr>
        <w:t xml:space="preserve"> </w:t>
      </w:r>
    </w:p>
    <w:p>
      <w:r>
        <w:rPr>
          <w:highlight w:val="red"/>
        </w:rPr>
        <w:t xml:space="preserve"> </w:t>
      </w:r>
    </w:p>
    <w:p>
      <w:r>
        <w:rPr>
          <w:highlight w:val="red"/>
        </w:rPr>
        <w:t xml:space="preserve"> </w:t>
      </w:r>
    </w:p>
    <w:p>
      <w:r>
        <w:rPr>
          <w:rFonts w:ascii="Arial" w:hAnsi="Arial"/>
          <w:b/>
          <w:color w:val="CC0000"/>
          <w:sz w:val="20"/>
          <w:highlight w:val="yellow"/>
        </w:rPr>
        <w:t>*** END MANUAL REVIEW ***</w:t>
      </w:r>
    </w:p>
    <w:p>
      <w:r>
        <w:br w:type="page"/>
      </w:r>
    </w:p>
    <w:p>
      <w:pPr>
        <w:pStyle w:val="Heading1"/>
      </w:pPr>
      <w:r>
        <w:rPr>
          <w:rFonts w:ascii="Arial" w:hAnsi="Arial"/>
          <w:color w:val="1F3864"/>
        </w:rPr>
        <w:t>Schedule B: Memorandum of Distribution [OPTIONAL]</w:t>
      </w:r>
    </w:p>
    <w:p>
      <w:pPr>
        <w:spacing w:after="80"/>
        <w:ind w:left="720"/>
        <w:jc w:val="both"/>
      </w:pPr>
      <w:r>
        <w:rPr>
          <w:rFonts w:ascii="Arial" w:hAnsi="Arial"/>
          <w:sz w:val="22"/>
        </w:rPr>
        <w:t>Coin collection → Jacob Thomas Anderson</w:t>
      </w:r>
    </w:p>
    <w:p>
      <w:pPr>
        <w:spacing w:after="80"/>
        <w:ind w:left="720"/>
        <w:jc w:val="both"/>
      </w:pPr>
      <w:r>
        <w:rPr>
          <w:rFonts w:ascii="Arial" w:hAnsi="Arial"/>
          <w:sz w:val="22"/>
        </w:rPr>
        <w:t>Mother's diamond ring → Emily Rose Anderson</w:t>
      </w:r>
    </w:p>
    <w:p>
      <w:pPr>
        <w:spacing w:after="80"/>
        <w:ind w:left="720"/>
        <w:jc w:val="both"/>
      </w:pPr>
      <w:r>
        <w:rPr>
          <w:rFonts w:ascii="Arial" w:hAnsi="Arial"/>
          <w:sz w:val="22"/>
        </w:rPr>
        <w:t>Grandfather's pocket watch → Sophia Grace Anderson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