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9AC4" w14:textId="64646EDD" w:rsidR="006D4B67" w:rsidRPr="006D4B67" w:rsidRDefault="006D4B67" w:rsidP="006D4B67">
      <w:pPr>
        <w:ind w:left="360" w:hanging="360"/>
        <w:jc w:val="center"/>
        <w:rPr>
          <w:b/>
          <w:bCs/>
          <w:sz w:val="28"/>
          <w:szCs w:val="26"/>
        </w:rPr>
      </w:pPr>
      <w:r w:rsidRPr="006D4B67">
        <w:rPr>
          <w:b/>
          <w:bCs/>
          <w:sz w:val="28"/>
          <w:szCs w:val="26"/>
        </w:rPr>
        <w:t>HW12: VaR Parametric assets</w:t>
      </w:r>
    </w:p>
    <w:p w14:paraId="1FB839E6" w14:textId="72418AA9" w:rsidR="00AE6AE8" w:rsidRPr="00AE6AE8" w:rsidRDefault="00AE6AE8" w:rsidP="00B01A6D">
      <w:pPr>
        <w:pStyle w:val="ListParagraph"/>
        <w:numPr>
          <w:ilvl w:val="0"/>
          <w:numId w:val="1"/>
        </w:numPr>
        <w:jc w:val="both"/>
      </w:pPr>
      <w:r w:rsidRPr="00AE6AE8">
        <w:t>Consider a portfolio containing 50 TLEVISA.CPO shares and 30 GFNORTEO shares. The</w:t>
      </w:r>
      <w:r>
        <w:t xml:space="preserve"> </w:t>
      </w:r>
      <w:r w:rsidRPr="00AE6AE8">
        <w:t>strike price of the first issuer is $25.44 with an estimated annual volatility of 38%. While the</w:t>
      </w:r>
      <w:r>
        <w:t xml:space="preserve"> </w:t>
      </w:r>
      <w:r w:rsidRPr="00AE6AE8">
        <w:t>second issuer ́s strike price is $67.16, and its estimated annual volatility is 25%. The correlation</w:t>
      </w:r>
      <w:r>
        <w:t xml:space="preserve"> </w:t>
      </w:r>
      <w:r w:rsidRPr="00AE6AE8">
        <w:t>between both is 30%.</w:t>
      </w:r>
    </w:p>
    <w:p w14:paraId="6A1F89B8" w14:textId="77777777" w:rsidR="00AE6AE8" w:rsidRDefault="00AE6AE8" w:rsidP="00B01A6D">
      <w:pPr>
        <w:pStyle w:val="ListParagraph"/>
        <w:numPr>
          <w:ilvl w:val="1"/>
          <w:numId w:val="1"/>
        </w:numPr>
        <w:jc w:val="both"/>
      </w:pPr>
      <w:r w:rsidRPr="00AE6AE8">
        <w:t>Calculate the initial value of the portfolio, which is equivalent to the number of shares</w:t>
      </w:r>
      <w:r>
        <w:t xml:space="preserve"> </w:t>
      </w:r>
      <w:r w:rsidRPr="00AE6AE8">
        <w:t>of issuer 1 times its corresponding strike price, plus the number of shares of issuer 2</w:t>
      </w:r>
      <w:r>
        <w:t xml:space="preserve"> </w:t>
      </w:r>
      <w:r w:rsidRPr="00AE6AE8">
        <w:t>times its corresponding strike price.</w:t>
      </w:r>
    </w:p>
    <w:p w14:paraId="4D420F2F" w14:textId="1CEF02AB" w:rsidR="00E4132A" w:rsidRDefault="00E4132A" w:rsidP="00E4132A">
      <w:pPr>
        <w:pStyle w:val="ListParagraph"/>
        <w:ind w:left="108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=50(25.44)+30(67.16)=$3,286.80</m:t>
          </m:r>
        </m:oMath>
      </m:oMathPara>
    </w:p>
    <w:p w14:paraId="102E83F4" w14:textId="77777777" w:rsidR="00AE6AE8" w:rsidRDefault="00AE6AE8" w:rsidP="00B01A6D">
      <w:pPr>
        <w:pStyle w:val="ListParagraph"/>
        <w:numPr>
          <w:ilvl w:val="1"/>
          <w:numId w:val="1"/>
        </w:numPr>
        <w:jc w:val="both"/>
      </w:pPr>
      <w:r w:rsidRPr="00AE6AE8">
        <w:t>Use the correlation provided to find the covariance between both assets. When</w:t>
      </w:r>
      <w:r>
        <w:t xml:space="preserve"> </w:t>
      </w:r>
      <w:r w:rsidRPr="00AE6AE8">
        <w:t>estimating the volatility (standard deviation) of each asset, don't forget to express it</w:t>
      </w:r>
      <w:r>
        <w:t xml:space="preserve"> </w:t>
      </w:r>
      <w:r w:rsidRPr="00AE6AE8">
        <w:t xml:space="preserve">in daily terms. </w:t>
      </w:r>
    </w:p>
    <w:p w14:paraId="1FC2BB10" w14:textId="46883A51" w:rsidR="00E4132A" w:rsidRPr="00E4132A" w:rsidRDefault="00E4132A" w:rsidP="00E4132A">
      <w:pPr>
        <w:pStyle w:val="ListParagraph"/>
        <w:ind w:left="108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TLEVISA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=0.0239</m:t>
          </m:r>
        </m:oMath>
      </m:oMathPara>
    </w:p>
    <w:p w14:paraId="4EF21024" w14:textId="66053F4D" w:rsidR="00E4132A" w:rsidRPr="00E4132A" w:rsidRDefault="00E4132A" w:rsidP="00E4132A">
      <w:pPr>
        <w:pStyle w:val="ListParagraph"/>
        <w:ind w:left="108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TLEVISA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157</m:t>
          </m:r>
        </m:oMath>
      </m:oMathPara>
    </w:p>
    <w:p w14:paraId="118C9AFF" w14:textId="5D9405A0" w:rsidR="00E4132A" w:rsidRPr="00E4132A" w:rsidRDefault="00E4132A" w:rsidP="00E4132A">
      <w:pPr>
        <w:pStyle w:val="ListParagraph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cov=0.3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0.0239</m:t>
              </m:r>
            </m:e>
          </m:d>
          <m:r>
            <w:rPr>
              <w:rFonts w:ascii="Cambria Math" w:eastAsiaTheme="minorEastAsia" w:hAnsi="Cambria Math"/>
            </w:rPr>
            <m:t>0.0157=0.000</m:t>
          </m:r>
          <m:r>
            <w:rPr>
              <w:rFonts w:ascii="Cambria Math" w:eastAsiaTheme="minorEastAsia" w:hAnsi="Cambria Math"/>
            </w:rPr>
            <m:t>113=0.0113%</m:t>
          </m:r>
        </m:oMath>
      </m:oMathPara>
    </w:p>
    <w:p w14:paraId="1CCFD813" w14:textId="2732B4A2" w:rsidR="00AE6AE8" w:rsidRDefault="00AE6AE8" w:rsidP="00B01A6D">
      <w:pPr>
        <w:pStyle w:val="ListParagraph"/>
        <w:numPr>
          <w:ilvl w:val="1"/>
          <w:numId w:val="1"/>
        </w:numPr>
        <w:jc w:val="both"/>
      </w:pPr>
      <w:r w:rsidRPr="00AE6AE8">
        <w:t xml:space="preserve">Create the matrix of covariance-variances </w:t>
      </w:r>
    </w:p>
    <w:p w14:paraId="6DCA0700" w14:textId="58FBDBD0" w:rsidR="007B431E" w:rsidRDefault="007B431E" w:rsidP="007B431E">
      <w:pPr>
        <w:pStyle w:val="ListParagraph"/>
        <w:ind w:left="1080"/>
        <w:jc w:val="both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0.0239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0.000113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0.000113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0.0157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87F936D" w14:textId="77777777" w:rsidR="00AE6AE8" w:rsidRDefault="00AE6AE8" w:rsidP="00B01A6D">
      <w:pPr>
        <w:pStyle w:val="ListParagraph"/>
        <w:numPr>
          <w:ilvl w:val="1"/>
          <w:numId w:val="1"/>
        </w:numPr>
        <w:jc w:val="both"/>
      </w:pPr>
      <w:r w:rsidRPr="00AE6AE8">
        <w:t xml:space="preserve">Calculate the weight vector </w:t>
      </w:r>
      <w:r w:rsidRPr="00AE6AE8">
        <w:rPr>
          <w:rFonts w:ascii="Cambria Math" w:hAnsi="Cambria Math" w:cs="Cambria Math"/>
        </w:rPr>
        <w:t>𝑤</w:t>
      </w:r>
      <w:r w:rsidRPr="00AE6AE8">
        <w:t>. This vector must have only two values since there are</w:t>
      </w:r>
      <w:r>
        <w:t xml:space="preserve"> </w:t>
      </w:r>
      <w:r w:rsidRPr="00AE6AE8">
        <w:t>only two assets in the portfolio.</w:t>
      </w:r>
    </w:p>
    <w:p w14:paraId="5BAC6C9C" w14:textId="115DD331" w:rsidR="007B431E" w:rsidRDefault="007B431E" w:rsidP="007B431E">
      <w:pPr>
        <w:pStyle w:val="ListParagraph"/>
        <w:ind w:left="1080"/>
        <w:jc w:val="both"/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25.44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3,286.8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67.16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3286.8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0.3870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0.6130</m:t>
                    </m:r>
                  </m:e>
                </m:mr>
              </m:m>
            </m:e>
          </m:d>
        </m:oMath>
      </m:oMathPara>
    </w:p>
    <w:p w14:paraId="03D0F9B0" w14:textId="77777777" w:rsidR="00AE6AE8" w:rsidRDefault="00AE6AE8" w:rsidP="00B01A6D">
      <w:pPr>
        <w:pStyle w:val="ListParagraph"/>
        <w:numPr>
          <w:ilvl w:val="1"/>
          <w:numId w:val="1"/>
        </w:numPr>
        <w:jc w:val="both"/>
      </w:pPr>
      <w:r w:rsidRPr="00AE6AE8">
        <w:t>Use your results in c and d, to calculate the volatility of the portfolio</w:t>
      </w:r>
      <w:r>
        <w:t>.</w:t>
      </w:r>
      <w:r w:rsidRPr="00AE6AE8">
        <w:t xml:space="preserve"> This volatility is in daily terms.</w:t>
      </w:r>
    </w:p>
    <w:p w14:paraId="5653A0FA" w14:textId="62830540" w:rsidR="007B431E" w:rsidRDefault="00131A4C" w:rsidP="007B431E">
      <w:pPr>
        <w:pStyle w:val="ListParagraph"/>
        <w:ind w:left="1080"/>
        <w:jc w:val="both"/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0.3870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0.6130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0.0239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0.000113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0.000113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0.0157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0.3870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0.6130</m:t>
                        </m:r>
                      </m:e>
                    </m:mr>
                  </m:m>
                </m:e>
              </m:d>
            </m:e>
          </m:rad>
          <m:r>
            <w:rPr>
              <w:rFonts w:ascii="Cambria Math" w:hAnsi="Cambria Math"/>
            </w:rPr>
            <m:t>=0.0152=1.52%</m:t>
          </m:r>
        </m:oMath>
      </m:oMathPara>
    </w:p>
    <w:p w14:paraId="19FF52CA" w14:textId="77777777" w:rsidR="00AE6AE8" w:rsidRDefault="00AE6AE8" w:rsidP="00B01A6D">
      <w:pPr>
        <w:pStyle w:val="ListParagraph"/>
        <w:numPr>
          <w:ilvl w:val="1"/>
          <w:numId w:val="1"/>
        </w:numPr>
        <w:jc w:val="both"/>
      </w:pPr>
      <w:r w:rsidRPr="00AE6AE8">
        <w:t>Based on your result in e and a, to determine the value-at-risk of the portfolio with</w:t>
      </w:r>
      <w:r>
        <w:t xml:space="preserve"> </w:t>
      </w:r>
      <w:r w:rsidRPr="00AE6AE8">
        <w:t xml:space="preserve">a 95% of significance level for a day. Since we express </w:t>
      </w:r>
      <w:r w:rsidRPr="00AE6AE8">
        <w:rPr>
          <w:rFonts w:ascii="Cambria Math" w:hAnsi="Cambria Math" w:cs="Cambria Math"/>
        </w:rPr>
        <w:t>𝜎</w:t>
      </w:r>
      <w:r w:rsidRPr="00AE6AE8">
        <w:t xml:space="preserve">+ </w:t>
      </w:r>
      <w:r w:rsidRPr="00AE6AE8">
        <w:rPr>
          <w:rFonts w:ascii="Cambria Math" w:hAnsi="Cambria Math" w:cs="Cambria Math"/>
        </w:rPr>
        <w:t>𝜎</w:t>
      </w:r>
      <w:r w:rsidRPr="00AE6AE8">
        <w:t>, in daily terms in the</w:t>
      </w:r>
      <w:r>
        <w:t xml:space="preserve"> </w:t>
      </w:r>
      <w:r w:rsidRPr="00AE6AE8">
        <w:t>exercise b calculated volatility is daily.</w:t>
      </w:r>
      <w:r>
        <w:t xml:space="preserve"> </w:t>
      </w:r>
    </w:p>
    <w:p w14:paraId="49D6AC25" w14:textId="66067B4E" w:rsidR="00131A4C" w:rsidRDefault="00131A4C" w:rsidP="00131A4C">
      <w:pPr>
        <w:pStyle w:val="ListParagraph"/>
        <w:ind w:left="1080"/>
        <w:jc w:val="both"/>
      </w:pPr>
      <m:oMathPara>
        <m:oMath>
          <m:r>
            <w:rPr>
              <w:rFonts w:ascii="Cambria Math" w:hAnsi="Cambria Math"/>
            </w:rPr>
            <m:t>VaR=-1.645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286.8</m:t>
              </m:r>
            </m:e>
          </m:d>
          <m:r>
            <w:rPr>
              <w:rFonts w:ascii="Cambria Math" w:hAnsi="Cambria Math"/>
            </w:rPr>
            <m:t>0.0152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=-$82.18</m:t>
          </m:r>
        </m:oMath>
      </m:oMathPara>
    </w:p>
    <w:p w14:paraId="01778EAE" w14:textId="2CE0AA28" w:rsidR="00AE6AE8" w:rsidRDefault="00AE6AE8" w:rsidP="00B01A6D">
      <w:pPr>
        <w:pStyle w:val="ListParagraph"/>
        <w:numPr>
          <w:ilvl w:val="1"/>
          <w:numId w:val="1"/>
        </w:numPr>
        <w:jc w:val="both"/>
      </w:pPr>
      <w:r w:rsidRPr="00AE6AE8">
        <w:t>We learned that</w:t>
      </w:r>
      <w:r w:rsidR="00B01A6D">
        <w:t xml:space="preserve">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 días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 día</m:t>
            </m:r>
          </m:sub>
        </m:sSub>
      </m:oMath>
      <w:r w:rsidRPr="00AE6AE8">
        <w:t>. Calculate VaR for 10 days.</w:t>
      </w:r>
    </w:p>
    <w:p w14:paraId="1D50C031" w14:textId="507E25C7" w:rsidR="00131A4C" w:rsidRDefault="00131A4C" w:rsidP="00131A4C">
      <w:pPr>
        <w:pStyle w:val="ListParagraph"/>
        <w:ind w:left="1080"/>
        <w:jc w:val="both"/>
      </w:pPr>
      <m:oMathPara>
        <m:oMath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10 días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-82.18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-$252.89</m:t>
          </m:r>
        </m:oMath>
      </m:oMathPara>
    </w:p>
    <w:p w14:paraId="355E57F6" w14:textId="68344F6A" w:rsidR="00AE6AE8" w:rsidRDefault="00AE6AE8" w:rsidP="00B01A6D">
      <w:pPr>
        <w:pStyle w:val="ListParagraph"/>
        <w:numPr>
          <w:ilvl w:val="0"/>
          <w:numId w:val="1"/>
        </w:numPr>
        <w:jc w:val="both"/>
      </w:pPr>
      <w:r w:rsidRPr="00AE6AE8">
        <w:t>Consider a portfolio containing only 50 TLEVISA.CPO shares whose strike price is $25.44</w:t>
      </w:r>
      <w:r>
        <w:t xml:space="preserve"> </w:t>
      </w:r>
      <w:r w:rsidRPr="00AE6AE8">
        <w:t>and whose estimated annual volatility is 38%. Calculate VaR for 1 day at 95%. Use EQ.1 where volatility corresponds to the volatility of the return of the single asset in the portfolio.</w:t>
      </w:r>
    </w:p>
    <w:p w14:paraId="79F252E3" w14:textId="3FDFCAEC" w:rsidR="00791A38" w:rsidRPr="00791A38" w:rsidRDefault="00791A38" w:rsidP="00791A38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pos=50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25.44</m:t>
              </m:r>
            </m:e>
          </m:d>
          <m:r>
            <w:rPr>
              <w:rFonts w:ascii="Cambria Math" w:hAnsi="Cambria Math"/>
            </w:rPr>
            <m:t>=$1,272.00</m:t>
          </m:r>
        </m:oMath>
      </m:oMathPara>
    </w:p>
    <w:p w14:paraId="4CED9E33" w14:textId="5D0775A1" w:rsidR="00791A38" w:rsidRPr="00791A38" w:rsidRDefault="00791A38" w:rsidP="00791A38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=0.0239</m:t>
          </m:r>
        </m:oMath>
      </m:oMathPara>
    </w:p>
    <w:p w14:paraId="409B6993" w14:textId="3078A030" w:rsidR="00791A38" w:rsidRPr="00791A38" w:rsidRDefault="00791A38" w:rsidP="00791A38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r>
            <w:rPr>
              <w:rFonts w:ascii="Cambria Math" w:hAnsi="Cambria Math"/>
            </w:rPr>
            <m:t>=-1.645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1,272</m:t>
              </m:r>
            </m:e>
          </m:d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239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=-$50.01</m:t>
          </m:r>
        </m:oMath>
      </m:oMathPara>
    </w:p>
    <w:p w14:paraId="61691A7B" w14:textId="77777777" w:rsidR="00AE6AE8" w:rsidRDefault="00AE6AE8" w:rsidP="00B01A6D">
      <w:pPr>
        <w:pStyle w:val="ListParagraph"/>
        <w:numPr>
          <w:ilvl w:val="0"/>
          <w:numId w:val="1"/>
        </w:numPr>
        <w:jc w:val="both"/>
      </w:pPr>
      <w:r w:rsidRPr="00AE6AE8">
        <w:lastRenderedPageBreak/>
        <w:t>Consider a portfolio containing only 30 GFNORTEO shares whose strike price is $67.16 and</w:t>
      </w:r>
      <w:r>
        <w:t xml:space="preserve"> </w:t>
      </w:r>
      <w:r w:rsidRPr="00AE6AE8">
        <w:t>whose estimated annual volatility is 25%. Calculate VaR for 1 day at 95%. Use EQ.1 where</w:t>
      </w:r>
      <w:r>
        <w:t xml:space="preserve"> </w:t>
      </w:r>
      <w:r w:rsidRPr="00AE6AE8">
        <w:t>volatility corresponds to the volatility of the return of the single asset in the portfolio.</w:t>
      </w:r>
      <w:r>
        <w:t xml:space="preserve"> </w:t>
      </w:r>
      <w:r w:rsidRPr="00AE6AE8">
        <w:t>Note: Check that the portfolio described in 2. and 3. has the same characteristics as the portfolio in 1.</w:t>
      </w:r>
      <w:r>
        <w:t xml:space="preserve"> </w:t>
      </w:r>
    </w:p>
    <w:p w14:paraId="0D8F6599" w14:textId="3AD4334D" w:rsidR="00791A38" w:rsidRPr="00791A38" w:rsidRDefault="00791A38" w:rsidP="00791A38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pos=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67.16</m:t>
              </m:r>
            </m:e>
          </m:d>
          <m:r>
            <w:rPr>
              <w:rFonts w:ascii="Cambria Math" w:hAnsi="Cambria Math"/>
            </w:rPr>
            <m:t>=$</m:t>
          </m:r>
          <m:r>
            <w:rPr>
              <w:rFonts w:ascii="Cambria Math" w:hAnsi="Cambria Math"/>
            </w:rPr>
            <m:t>2,014.80</m:t>
          </m:r>
        </m:oMath>
      </m:oMathPara>
    </w:p>
    <w:p w14:paraId="513962B1" w14:textId="2AC13C65" w:rsidR="00791A38" w:rsidRPr="00791A38" w:rsidRDefault="00791A38" w:rsidP="00791A38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=0.0157</m:t>
          </m:r>
        </m:oMath>
      </m:oMathPara>
    </w:p>
    <w:p w14:paraId="6E12065C" w14:textId="6EB52DE1" w:rsidR="00791A38" w:rsidRPr="00791A38" w:rsidRDefault="00791A38" w:rsidP="00791A38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r>
            <w:rPr>
              <w:rFonts w:ascii="Cambria Math" w:hAnsi="Cambria Math"/>
            </w:rPr>
            <m:t>=-1.645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2,014.8</m:t>
              </m:r>
            </m:e>
          </m:d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0157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=-$5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.0</m:t>
          </m:r>
          <m:r>
            <w:rPr>
              <w:rFonts w:ascii="Cambria Math" w:hAnsi="Cambria Math"/>
            </w:rPr>
            <m:t>4</m:t>
          </m:r>
        </m:oMath>
      </m:oMathPara>
    </w:p>
    <w:p w14:paraId="32C30546" w14:textId="77777777" w:rsidR="00AE6AE8" w:rsidRDefault="00AE6AE8" w:rsidP="00B01A6D">
      <w:pPr>
        <w:pStyle w:val="ListParagraph"/>
        <w:numPr>
          <w:ilvl w:val="0"/>
          <w:numId w:val="1"/>
        </w:numPr>
        <w:jc w:val="both"/>
      </w:pPr>
      <w:r w:rsidRPr="00AE6AE8">
        <w:t>Sum the results of 2. and 3. and subtract them with results in 1. f). How much do you obtain?</w:t>
      </w:r>
      <w:r>
        <w:t xml:space="preserve"> </w:t>
      </w:r>
      <w:r w:rsidRPr="00AE6AE8">
        <w:t>This difference is known as the benefits of diversification. And it equates to the benefit of</w:t>
      </w:r>
      <w:r>
        <w:t xml:space="preserve"> </w:t>
      </w:r>
      <w:r w:rsidRPr="00AE6AE8">
        <w:t>having a diversified portfolio with two assets instead of having two portfolios with one asset.</w:t>
      </w:r>
      <w:r>
        <w:t xml:space="preserve"> </w:t>
      </w:r>
      <w:r w:rsidRPr="00AE6AE8">
        <w:t>Each of the calculations in 2. and 3. is called the individual VaR of the portfolio and the</w:t>
      </w:r>
      <w:r>
        <w:t xml:space="preserve"> </w:t>
      </w:r>
      <w:r w:rsidRPr="00AE6AE8">
        <w:t>one obtained in 1. f) is the total VaR of the portfolio.</w:t>
      </w:r>
    </w:p>
    <w:p w14:paraId="28CD41C1" w14:textId="6D0D6CB7" w:rsidR="00791A38" w:rsidRDefault="00791A38" w:rsidP="00791A38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-82.18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-50.01-52.04</m:t>
              </m:r>
            </m:e>
          </m:d>
          <m:r>
            <w:rPr>
              <w:rFonts w:ascii="Cambria Math" w:hAnsi="Cambria Math"/>
            </w:rPr>
            <m:t>=$19.87</m:t>
          </m:r>
        </m:oMath>
      </m:oMathPara>
    </w:p>
    <w:p w14:paraId="74AB8E5B" w14:textId="77777777" w:rsidR="00AE6AE8" w:rsidRDefault="00AE6AE8" w:rsidP="00B01A6D">
      <w:pPr>
        <w:pStyle w:val="ListParagraph"/>
        <w:numPr>
          <w:ilvl w:val="0"/>
          <w:numId w:val="1"/>
        </w:numPr>
        <w:jc w:val="both"/>
      </w:pPr>
      <w:r w:rsidRPr="00AE6AE8">
        <w:t>As you may have noticed, the sum of the individual VaRs is greater than the total VaR of</w:t>
      </w:r>
      <w:r>
        <w:t xml:space="preserve"> </w:t>
      </w:r>
      <w:r w:rsidRPr="00AE6AE8">
        <w:t>the portfolio. There is a rule that allows us to obtain the total VaR of the portfolio using the</w:t>
      </w:r>
      <w:r>
        <w:t xml:space="preserve"> </w:t>
      </w:r>
      <w:r w:rsidRPr="00AE6AE8">
        <w:t>individual VaRs. For our example of two assets, we have</w:t>
      </w:r>
    </w:p>
    <w:p w14:paraId="47F6EC95" w14:textId="0632AEC7" w:rsidR="00AE6AE8" w:rsidRDefault="00AE6AE8" w:rsidP="00AE6AE8">
      <w:pPr>
        <w:pStyle w:val="ListParagraph"/>
        <w:ind w:left="360"/>
        <w:rPr>
          <w:rFonts w:ascii="Cambria Math" w:hAnsi="Cambria Math" w:cs="Cambria Math"/>
        </w:rPr>
      </w:pPr>
      <m:oMathPara>
        <m:oMath>
          <m:r>
            <w:rPr>
              <w:rFonts w:ascii="Cambria Math" w:hAnsi="Cambria Math" w:cs="Cambria Math"/>
            </w:rPr>
            <m:t>Va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Va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Va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ρ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ρ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Va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Va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rad>
        </m:oMath>
      </m:oMathPara>
    </w:p>
    <w:p w14:paraId="1451F3A4" w14:textId="2B88CCE9" w:rsidR="0014355D" w:rsidRDefault="00AE6AE8" w:rsidP="00B01A6D">
      <w:pPr>
        <w:pStyle w:val="ListParagraph"/>
        <w:ind w:left="360"/>
        <w:jc w:val="both"/>
      </w:pPr>
      <w:r w:rsidRPr="00AE6AE8">
        <w:t>Indicating that the total VaR of a portfolio is equal to the square root of the multiplication of</w:t>
      </w:r>
      <w:r>
        <w:t xml:space="preserve"> </w:t>
      </w:r>
      <w:r w:rsidRPr="00AE6AE8">
        <w:t>the individual VaRs multiplied by the correlation matrix and the transposed of the individual</w:t>
      </w:r>
      <w:r>
        <w:t xml:space="preserve"> </w:t>
      </w:r>
      <w:r w:rsidRPr="00AE6AE8">
        <w:t xml:space="preserve">VaR. Use the EQ.5 to check your result. For this, it considers that </w:t>
      </w:r>
      <w:r w:rsidRPr="00AE6AE8">
        <w:rPr>
          <w:rFonts w:ascii="Cambria Math" w:hAnsi="Cambria Math" w:cs="Cambria Math"/>
        </w:rPr>
        <w:t>𝑉𝑎𝑅</w:t>
      </w:r>
      <w:r w:rsidRPr="00AE6AE8">
        <w:t xml:space="preserve"> ( it is the result obtained</w:t>
      </w:r>
      <w:r>
        <w:t xml:space="preserve"> </w:t>
      </w:r>
      <w:r w:rsidRPr="00AE6AE8">
        <w:t xml:space="preserve">in 1 f)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E6AE8">
        <w:t xml:space="preserve">it is the result obtained in 2,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E6AE8">
        <w:t xml:space="preserve">it is the result obtained in 3. and </w:t>
      </w:r>
      <w:r w:rsidRPr="00AE6AE8">
        <w:rPr>
          <w:rFonts w:ascii="Cambria Math" w:hAnsi="Cambria Math" w:cs="Cambria Math"/>
        </w:rPr>
        <w:t>𝜌</w:t>
      </w:r>
      <w:r w:rsidRPr="00AE6AE8">
        <w:t xml:space="preserve"> is the correlation</w:t>
      </w:r>
      <w:r>
        <w:t xml:space="preserve"> </w:t>
      </w:r>
      <w:r w:rsidRPr="00AE6AE8">
        <w:t>between both assets described in 1.</w:t>
      </w:r>
    </w:p>
    <w:p w14:paraId="506BAF3B" w14:textId="06BF14BD" w:rsidR="00B83B1B" w:rsidRDefault="00B83B1B" w:rsidP="00B83B1B">
      <w:pPr>
        <w:pStyle w:val="ListParagraph"/>
        <w:ind w:left="360"/>
        <w:rPr>
          <w:rFonts w:ascii="Cambria Math" w:hAnsi="Cambria Math" w:cs="Cambria Math"/>
        </w:rPr>
      </w:pPr>
      <m:oMathPara>
        <m:oMath>
          <m:r>
            <w:rPr>
              <w:rFonts w:ascii="Cambria Math" w:hAnsi="Cambria Math" w:cs="Cambria Math"/>
            </w:rPr>
            <m:t>82.18</m:t>
          </m:r>
          <m: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50.01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52.04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0.3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50.01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52.04</m:t>
                        </m:r>
                      </m:e>
                    </m:mr>
                  </m:m>
                </m:e>
              </m:d>
            </m:e>
          </m:rad>
        </m:oMath>
      </m:oMathPara>
    </w:p>
    <w:p w14:paraId="18A3E3CC" w14:textId="6DC47E25" w:rsidR="00B83B1B" w:rsidRDefault="00B83B1B" w:rsidP="00B01A6D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82.18=82.28</m:t>
          </m:r>
        </m:oMath>
      </m:oMathPara>
    </w:p>
    <w:sectPr w:rsidR="00B83B1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934D1" w14:textId="77777777" w:rsidR="00203ED5" w:rsidRDefault="00203ED5" w:rsidP="00AE6AE8">
      <w:pPr>
        <w:spacing w:after="0"/>
      </w:pPr>
      <w:r>
        <w:separator/>
      </w:r>
    </w:p>
  </w:endnote>
  <w:endnote w:type="continuationSeparator" w:id="0">
    <w:p w14:paraId="339EAB10" w14:textId="77777777" w:rsidR="00203ED5" w:rsidRDefault="00203ED5" w:rsidP="00AE6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FA526" w14:textId="77777777" w:rsidR="00203ED5" w:rsidRDefault="00203ED5" w:rsidP="00AE6AE8">
      <w:pPr>
        <w:spacing w:after="0"/>
      </w:pPr>
      <w:r>
        <w:separator/>
      </w:r>
    </w:p>
  </w:footnote>
  <w:footnote w:type="continuationSeparator" w:id="0">
    <w:p w14:paraId="7D47D39E" w14:textId="77777777" w:rsidR="00203ED5" w:rsidRDefault="00203ED5" w:rsidP="00AE6A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0EA90" w14:textId="5DE2BFC4" w:rsidR="006D4B67" w:rsidRPr="005B3185" w:rsidRDefault="006D4B67">
    <w:pPr>
      <w:pStyle w:val="Header"/>
      <w:rPr>
        <w:sz w:val="22"/>
        <w:szCs w:val="22"/>
        <w:lang w:val="es-ES_tradnl"/>
      </w:rPr>
    </w:pPr>
    <w:r w:rsidRPr="005B3185">
      <w:rPr>
        <w:sz w:val="22"/>
        <w:szCs w:val="22"/>
        <w:lang w:val="es-ES_tradnl"/>
      </w:rPr>
      <w:t>Diego Lozoya Morales | 745345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97583"/>
    <w:multiLevelType w:val="hybridMultilevel"/>
    <w:tmpl w:val="DF5EBDDE"/>
    <w:lvl w:ilvl="0" w:tplc="8CAC09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 (Body CS)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9B1C08"/>
    <w:multiLevelType w:val="hybridMultilevel"/>
    <w:tmpl w:val="566E2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58530">
    <w:abstractNumId w:val="0"/>
  </w:num>
  <w:num w:numId="2" w16cid:durableId="111313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E8"/>
    <w:rsid w:val="00086E06"/>
    <w:rsid w:val="00131A4C"/>
    <w:rsid w:val="0014355D"/>
    <w:rsid w:val="00203ED5"/>
    <w:rsid w:val="00350FC3"/>
    <w:rsid w:val="005B3185"/>
    <w:rsid w:val="006D4B67"/>
    <w:rsid w:val="00743C98"/>
    <w:rsid w:val="00791A38"/>
    <w:rsid w:val="007B431E"/>
    <w:rsid w:val="008D5CB2"/>
    <w:rsid w:val="00AD6827"/>
    <w:rsid w:val="00AE6AE8"/>
    <w:rsid w:val="00B01A6D"/>
    <w:rsid w:val="00B83B1B"/>
    <w:rsid w:val="00C308C4"/>
    <w:rsid w:val="00D81F74"/>
    <w:rsid w:val="00E4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D0AE"/>
  <w15:chartTrackingRefBased/>
  <w15:docId w15:val="{8AA96F59-C4E5-3842-B0E5-C45B5D6D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A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E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6AE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E6AE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6AE8"/>
  </w:style>
  <w:style w:type="paragraph" w:styleId="Footer">
    <w:name w:val="footer"/>
    <w:basedOn w:val="Normal"/>
    <w:link w:val="FooterChar"/>
    <w:uiPriority w:val="99"/>
    <w:unhideWhenUsed/>
    <w:rsid w:val="00AE6AE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4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39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8479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9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334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86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5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70875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28850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93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Lozoya Morales</dc:creator>
  <cp:keywords/>
  <dc:description/>
  <cp:lastModifiedBy>Diego Lozoya Morales</cp:lastModifiedBy>
  <cp:revision>4</cp:revision>
  <dcterms:created xsi:type="dcterms:W3CDTF">2025-04-11T17:40:00Z</dcterms:created>
  <dcterms:modified xsi:type="dcterms:W3CDTF">2025-04-11T18:46:00Z</dcterms:modified>
</cp:coreProperties>
</file>