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6691D" w14:textId="77777777" w:rsidR="00000000" w:rsidRDefault="00BF4414">
      <w:pPr>
        <w:pStyle w:val="Heading1"/>
        <w:divId w:val="48019891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INFINITYFINANCE</w:t>
      </w:r>
    </w:p>
    <w:p w14:paraId="458B30A3" w14:textId="77777777" w:rsidR="00000000" w:rsidRDefault="00BF4414">
      <w:pPr>
        <w:jc w:val="center"/>
        <w:divId w:val="1171337235"/>
        <w:rPr>
          <w:rFonts w:ascii="Calibri" w:eastAsia="Times New Roman" w:hAnsi="Calibri" w:cs="Calibri"/>
          <w:i/>
          <w:iCs/>
          <w:color w:val="0D9488"/>
          <w:sz w:val="32"/>
          <w:szCs w:val="32"/>
          <w:lang w:val="en"/>
        </w:rPr>
      </w:pPr>
      <w:r>
        <w:rPr>
          <w:rFonts w:ascii="Calibri" w:eastAsia="Times New Roman" w:hAnsi="Calibri" w:cs="Calibri"/>
          <w:i/>
          <w:iCs/>
          <w:color w:val="0D9488"/>
          <w:sz w:val="32"/>
          <w:szCs w:val="32"/>
          <w:lang w:val="en"/>
        </w:rPr>
        <w:t>Enterprise Loan &amp; Savings Management System (LMS)</w:t>
      </w:r>
      <w:r>
        <w:rPr>
          <w:rFonts w:ascii="Calibri" w:eastAsia="Times New Roman" w:hAnsi="Calibri" w:cs="Calibri"/>
          <w:i/>
          <w:iCs/>
          <w:color w:val="0D9488"/>
          <w:sz w:val="32"/>
          <w:szCs w:val="32"/>
          <w:lang w:val="en"/>
        </w:rPr>
        <w:br/>
        <w:t>for Philippine Cooperatives and Microfinance Institutions</w:t>
      </w:r>
    </w:p>
    <w:p w14:paraId="07D5B269" w14:textId="77777777" w:rsidR="00000000" w:rsidRDefault="00BF4414">
      <w:pPr>
        <w:jc w:val="center"/>
        <w:divId w:val="1651127794"/>
        <w:rPr>
          <w:rFonts w:ascii="Calibri" w:eastAsia="Times New Roman" w:hAnsi="Calibri" w:cs="Calibri"/>
          <w:color w:val="4A556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4A5568"/>
          <w:sz w:val="22"/>
          <w:szCs w:val="22"/>
          <w:lang w:val="en"/>
        </w:rPr>
        <w:t>Prepared For:</w:t>
      </w:r>
      <w:r>
        <w:rPr>
          <w:rFonts w:ascii="Calibri" w:eastAsia="Times New Roman" w:hAnsi="Calibri" w:cs="Calibri"/>
          <w:color w:val="4A5568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4A5568"/>
          <w:sz w:val="22"/>
          <w:szCs w:val="22"/>
          <w:lang w:val="en"/>
        </w:rPr>
        <w:t>Sidlak Christian Children Fund Savings and Credit Cooperative (SCSCC)</w:t>
      </w:r>
      <w:r>
        <w:rPr>
          <w:rFonts w:ascii="Calibri" w:eastAsia="Times New Roman" w:hAnsi="Calibri" w:cs="Calibri"/>
          <w:color w:val="4A5568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4A5568"/>
          <w:sz w:val="22"/>
          <w:szCs w:val="22"/>
          <w:lang w:val="en"/>
        </w:rPr>
        <w:t>Prepared By:</w:t>
      </w:r>
      <w:r>
        <w:rPr>
          <w:rFonts w:ascii="Calibri" w:eastAsia="Times New Roman" w:hAnsi="Calibri" w:cs="Calibri"/>
          <w:color w:val="4A5568"/>
          <w:sz w:val="22"/>
          <w:szCs w:val="22"/>
          <w:lang w:val="en"/>
        </w:rPr>
        <w:t xml:space="preserve"> InfinityFinance Business Solutions Team</w:t>
      </w:r>
      <w:r>
        <w:rPr>
          <w:rFonts w:ascii="Calibri" w:eastAsia="Times New Roman" w:hAnsi="Calibri" w:cs="Calibri"/>
          <w:color w:val="4A5568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4A5568"/>
          <w:sz w:val="22"/>
          <w:szCs w:val="22"/>
          <w:lang w:val="en"/>
        </w:rPr>
        <w:t>Version:</w:t>
      </w:r>
      <w:r>
        <w:rPr>
          <w:rFonts w:ascii="Calibri" w:eastAsia="Times New Roman" w:hAnsi="Calibri" w:cs="Calibri"/>
          <w:color w:val="4A5568"/>
          <w:sz w:val="22"/>
          <w:szCs w:val="22"/>
          <w:lang w:val="en"/>
        </w:rPr>
        <w:t xml:space="preserve"> 2.0 (CDA &amp; CIC Compliant Edition)</w:t>
      </w:r>
      <w:r>
        <w:rPr>
          <w:rFonts w:ascii="Calibri" w:eastAsia="Times New Roman" w:hAnsi="Calibri" w:cs="Calibri"/>
          <w:color w:val="4A5568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4A5568"/>
          <w:sz w:val="22"/>
          <w:szCs w:val="22"/>
          <w:lang w:val="en"/>
        </w:rPr>
        <w:t>Date:</w:t>
      </w:r>
      <w:r>
        <w:rPr>
          <w:rFonts w:ascii="Calibri" w:eastAsia="Times New Roman" w:hAnsi="Calibri" w:cs="Calibri"/>
          <w:color w:val="4A5568"/>
          <w:sz w:val="22"/>
          <w:szCs w:val="22"/>
          <w:lang w:val="en"/>
        </w:rPr>
        <w:t xml:space="preserve"> July 8, 2026</w:t>
      </w:r>
      <w:r>
        <w:rPr>
          <w:rFonts w:ascii="Calibri" w:eastAsia="Times New Roman" w:hAnsi="Calibri" w:cs="Calibri"/>
          <w:color w:val="4A5568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4A5568"/>
          <w:sz w:val="22"/>
          <w:szCs w:val="22"/>
          <w:lang w:val="en"/>
        </w:rPr>
        <w:t>Status:</w:t>
      </w:r>
      <w:r>
        <w:rPr>
          <w:rFonts w:ascii="Calibri" w:eastAsia="Times New Roman" w:hAnsi="Calibri" w:cs="Calibri"/>
          <w:color w:val="4A5568"/>
          <w:sz w:val="22"/>
          <w:szCs w:val="22"/>
          <w:lang w:val="en"/>
        </w:rPr>
        <w:t xml:space="preserve"> Commercial Proposal and Technical Specifications </w:t>
      </w:r>
    </w:p>
    <w:p w14:paraId="2C2A2DC7" w14:textId="77777777" w:rsidR="00000000" w:rsidRDefault="00BF4414">
      <w:pPr>
        <w:pStyle w:val="Heading2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Executive Sum</w:t>
      </w:r>
      <w:r>
        <w:rPr>
          <w:rFonts w:ascii="Calibri" w:eastAsia="Times New Roman" w:hAnsi="Calibri" w:cs="Calibri"/>
          <w:lang w:val="en"/>
        </w:rPr>
        <w:t>mary</w:t>
      </w:r>
    </w:p>
    <w:p w14:paraId="692AF7A5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In the rapidly evolving financial landscape of the Philippines, savings and credit cooperatives require robust, reliable, and legally compliant tools to manage assets, streamline field collections, and ensure regulatory transparency. </w:t>
      </w:r>
      <w:r>
        <w:rPr>
          <w:rStyle w:val="Strong"/>
          <w:rFonts w:ascii="Calibri" w:hAnsi="Calibri" w:cs="Calibri"/>
          <w:color w:val="2D3748"/>
          <w:sz w:val="22"/>
          <w:szCs w:val="22"/>
          <w:lang w:val="en"/>
        </w:rPr>
        <w:t>InfinityFinance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 (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customized for the </w:t>
      </w:r>
      <w:r>
        <w:rPr>
          <w:rStyle w:val="Emphasis"/>
          <w:rFonts w:ascii="Calibri" w:hAnsi="Calibri" w:cs="Calibri"/>
          <w:color w:val="2D3748"/>
          <w:sz w:val="22"/>
          <w:szCs w:val="22"/>
          <w:lang w:val="en"/>
        </w:rPr>
        <w:t>Sidlak Christian Children Fund Savings and Credit Cooperative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) is an enterprise-grade, mobile-first, and offline-first Loan and Savings Management System (LMS) specifically designed to address these requirements. </w:t>
      </w:r>
    </w:p>
    <w:p w14:paraId="306B524E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Fonts w:ascii="Calibri" w:hAnsi="Calibri" w:cs="Calibri"/>
          <w:color w:val="2D3748"/>
          <w:sz w:val="22"/>
          <w:szCs w:val="22"/>
          <w:lang w:val="en"/>
        </w:rPr>
        <w:t>InfinityFinance bridges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 the gap between field operations and back-office financial accounting. Field collectors operate in remote areas without internet access, recording loan collections and member deposits securely on their mobile devices. Once a connection is established, the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 application automatically synchronizes data back to a secure cloud-hosted PostgreSQL database managed via Supabase. Behind the scenes, a comprehensive double-entry accounting engine automatically posts </w:t>
      </w:r>
      <w:r>
        <w:rPr>
          <w:rFonts w:ascii="Calibri" w:hAnsi="Calibri" w:cs="Calibri"/>
          <w:color w:val="2D3748"/>
          <w:sz w:val="22"/>
          <w:szCs w:val="22"/>
          <w:lang w:val="en"/>
        </w:rPr>
        <w:lastRenderedPageBreak/>
        <w:t xml:space="preserve">entries to a Chart of Accounts aligned with the </w:t>
      </w:r>
      <w:r>
        <w:rPr>
          <w:rStyle w:val="Strong"/>
          <w:rFonts w:ascii="Calibri" w:hAnsi="Calibri" w:cs="Calibri"/>
          <w:color w:val="2D3748"/>
          <w:sz w:val="22"/>
          <w:szCs w:val="22"/>
          <w:lang w:val="en"/>
        </w:rPr>
        <w:t>Coope</w:t>
      </w:r>
      <w:r>
        <w:rPr>
          <w:rStyle w:val="Strong"/>
          <w:rFonts w:ascii="Calibri" w:hAnsi="Calibri" w:cs="Calibri"/>
          <w:color w:val="2D3748"/>
          <w:sz w:val="22"/>
          <w:szCs w:val="22"/>
          <w:lang w:val="en"/>
        </w:rPr>
        <w:t>rative Development Authority (CDA)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 standards, providing instant compliance reporting, balance sheets, and operations statements. </w:t>
      </w:r>
    </w:p>
    <w:p w14:paraId="20413A41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Fonts w:ascii="Calibri" w:hAnsi="Calibri" w:cs="Calibri"/>
          <w:color w:val="2D3748"/>
          <w:sz w:val="22"/>
          <w:szCs w:val="22"/>
          <w:lang w:val="en"/>
        </w:rPr>
        <w:t>This proposal outlines the platform's core architecture, detailed role-based features, benefits, and compliance modules (inclu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ding CDA-format statements, automatic statutory fund allocations, and credit reporting exports for the </w:t>
      </w:r>
      <w:r>
        <w:rPr>
          <w:rStyle w:val="Strong"/>
          <w:rFonts w:ascii="Calibri" w:hAnsi="Calibri" w:cs="Calibri"/>
          <w:color w:val="2D3748"/>
          <w:sz w:val="22"/>
          <w:szCs w:val="22"/>
          <w:lang w:val="en"/>
        </w:rPr>
        <w:t>Credit Information Corporation (CIC)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). </w:t>
      </w:r>
    </w:p>
    <w:p w14:paraId="016480C5" w14:textId="77777777" w:rsidR="00000000" w:rsidRDefault="00BF4414">
      <w:pPr>
        <w:pStyle w:val="Heading3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Core Value Proposition</w:t>
      </w:r>
    </w:p>
    <w:p w14:paraId="07ACBF0A" w14:textId="77777777" w:rsidR="00000000" w:rsidRDefault="00BF4414">
      <w:pPr>
        <w:numPr>
          <w:ilvl w:val="0"/>
          <w:numId w:val="1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Offline-First Resilience: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field operations continue uninterrupted without internet, ensuri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ng zero data loss during rural collections.</w:t>
      </w:r>
    </w:p>
    <w:p w14:paraId="0929A254" w14:textId="77777777" w:rsidR="00000000" w:rsidRDefault="00BF4414">
      <w:pPr>
        <w:numPr>
          <w:ilvl w:val="0"/>
          <w:numId w:val="1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Automated Regulatory Compliance: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instant CDA financial statements, statutory reserve splits, and automated credit registry reporting files for the CIC.</w:t>
      </w:r>
    </w:p>
    <w:p w14:paraId="1D451844" w14:textId="77777777" w:rsidR="00000000" w:rsidRDefault="00BF4414">
      <w:pPr>
        <w:numPr>
          <w:ilvl w:val="0"/>
          <w:numId w:val="1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Auditability and Transparency: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end-to-end audit trails, immutable collection sheets, cash handover validation (remittances), and role-bas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ed permissions prevent internal leakages.</w:t>
      </w:r>
    </w:p>
    <w:p w14:paraId="7EC0BD2E" w14:textId="77777777" w:rsidR="00000000" w:rsidRDefault="00BF4414">
      <w:pPr>
        <w:numPr>
          <w:ilvl w:val="0"/>
          <w:numId w:val="1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Integrated Accounting: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direct ledger integration ensures that every transaction (loan release, payment, expense, savings interest) is posted automatically, eliminating manual reconciliation overhead.</w:t>
      </w:r>
    </w:p>
    <w:p w14:paraId="4326996A" w14:textId="77777777" w:rsidR="00000000" w:rsidRDefault="00BF4414">
      <w:pPr>
        <w:pStyle w:val="Heading2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System Arch</w:t>
      </w:r>
      <w:r>
        <w:rPr>
          <w:rFonts w:ascii="Calibri" w:eastAsia="Times New Roman" w:hAnsi="Calibri" w:cs="Calibri"/>
          <w:lang w:val="en"/>
        </w:rPr>
        <w:t>itecture &amp; Tech Stack</w:t>
      </w:r>
    </w:p>
    <w:p w14:paraId="3AD857F1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The platform utilizes a modern, resilient technology stack to achieve high responsiveness, robust security, offline persistence, and seamless sync capabilities: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3270"/>
        <w:gridCol w:w="3270"/>
      </w:tblGrid>
      <w:tr w:rsidR="00000000" w14:paraId="2A938FD5" w14:textId="77777777">
        <w:trPr>
          <w:divId w:val="1649897928"/>
          <w:tblHeader/>
        </w:trPr>
        <w:tc>
          <w:tcPr>
            <w:tcW w:w="1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B289A0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  <w:t>Layer</w:t>
            </w:r>
          </w:p>
        </w:tc>
        <w:tc>
          <w:tcPr>
            <w:tcW w:w="175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568722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  <w:t>Technology Components</w:t>
            </w:r>
          </w:p>
        </w:tc>
        <w:tc>
          <w:tcPr>
            <w:tcW w:w="175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8AEC2E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  <w:t>Purpose &amp; Strategic Benefit</w:t>
            </w:r>
          </w:p>
        </w:tc>
      </w:tr>
      <w:tr w:rsidR="00000000" w14:paraId="639BE37A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01A02A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Mobile &amp; Web Fr</w:t>
            </w: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ontend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6A5788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React Native, Expo SDK 55, Expo Router, NativeWind 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ACC204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Cross-platform native applications for iOS and Android, plus an admin web dashboard. Leverages file-based routing and atomic design for fluid performance.</w:t>
            </w:r>
          </w:p>
        </w:tc>
      </w:tr>
      <w:tr w:rsidR="00000000" w14:paraId="21B1C055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7298DB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Local Database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5F0C16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WatermelonDB (SQLite local backend)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5F6BA8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Optimized for high-performance offline data caching, handling millions of records on low-end devices with asynchronous database queries.</w:t>
            </w:r>
          </w:p>
        </w:tc>
      </w:tr>
      <w:tr w:rsidR="00000000" w14:paraId="0F193354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2C4E7B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Cloud Backend &amp; DB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CB87BF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Supabase (PostgreSQL, Supabase Auth, Storage)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2373AA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Relational integr</w:t>
            </w: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ity, real-time database listener, secure JWT authentication, and automatic daily cloud backup storage.</w:t>
            </w:r>
          </w:p>
        </w:tc>
      </w:tr>
      <w:tr w:rsidR="00000000" w14:paraId="13C88495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D2C6A6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Security &amp; Encryption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1BC3CB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AES-256 at-rest encryption, Row-Level Security (RLS)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331565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 xml:space="preserve">PII (Personally Identifiable Information) such as member addresses and phone </w:t>
            </w: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numbers are encrypted locally and in the cloud database. RLS restricts access so users only see authorized data.</w:t>
            </w:r>
          </w:p>
        </w:tc>
      </w:tr>
      <w:tr w:rsidR="00000000" w14:paraId="14467CDB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930726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Testing &amp; Verification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85E711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Jest, Playwright E2E testing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FE3BBC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Continuous testing of calculations, workflows, and UI transitions to ensure zero regressio</w:t>
            </w: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ns before production deployment.</w:t>
            </w:r>
          </w:p>
        </w:tc>
      </w:tr>
    </w:tbl>
    <w:p w14:paraId="6F30A410" w14:textId="77777777" w:rsidR="00000000" w:rsidRDefault="00BF4414">
      <w:pPr>
        <w:pStyle w:val="Heading3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Offline-First Sync Engine (WatermelonDB ↔ Supabase)</w:t>
      </w:r>
    </w:p>
    <w:p w14:paraId="3812F718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Field collectors frequently operate in barangays with spotty or non-existent cellular coverage. To solve this, InfinityFinance uses a custom synchronization service: </w:t>
      </w:r>
    </w:p>
    <w:p w14:paraId="4A9E222B" w14:textId="77777777" w:rsidR="00000000" w:rsidRDefault="00BF4414">
      <w:pPr>
        <w:numPr>
          <w:ilvl w:val="0"/>
          <w:numId w:val="2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Loc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al Write: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Transactions are written instantly to the local SQLite database. The user interface updates immediately, ensuring zero lag.</w:t>
      </w:r>
    </w:p>
    <w:p w14:paraId="2F91AC48" w14:textId="77777777" w:rsidR="00000000" w:rsidRDefault="00BF4414">
      <w:pPr>
        <w:numPr>
          <w:ilvl w:val="0"/>
          <w:numId w:val="2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Status Tracking: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The database marks records as </w:t>
      </w:r>
      <w:r>
        <w:rPr>
          <w:rStyle w:val="HTMLCode"/>
          <w:color w:val="2D3748"/>
          <w:lang w:val="en"/>
        </w:rPr>
        <w:t>created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, </w:t>
      </w:r>
      <w:r>
        <w:rPr>
          <w:rStyle w:val="HTMLCode"/>
          <w:color w:val="2D3748"/>
          <w:lang w:val="en"/>
        </w:rPr>
        <w:t>updated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, or </w:t>
      </w:r>
      <w:r>
        <w:rPr>
          <w:rStyle w:val="HTMLCode"/>
          <w:color w:val="2D3748"/>
          <w:lang w:val="en"/>
        </w:rPr>
        <w:t>deleted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locally.</w:t>
      </w:r>
    </w:p>
    <w:p w14:paraId="028B05C6" w14:textId="77777777" w:rsidR="00000000" w:rsidRDefault="00BF4414">
      <w:pPr>
        <w:numPr>
          <w:ilvl w:val="0"/>
          <w:numId w:val="2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Bidirectional Synchronization: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When c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onnectivity is detected, the system pulls remote updates (ensuring field data matches the central office) and pushes local modifications to Supabase, handling conflict resolution through chronological precedence.</w:t>
      </w:r>
    </w:p>
    <w:p w14:paraId="2A693893" w14:textId="77777777" w:rsidR="00000000" w:rsidRDefault="00BF4414">
      <w:pPr>
        <w:pStyle w:val="Heading2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Role-Based Access Control (RBAC)</w:t>
      </w:r>
    </w:p>
    <w:p w14:paraId="21AC295C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To preserve operational security and adhere to internal control best practices (separation of duties), the system restricts access through six (6) distinct user roles: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3738"/>
        <w:gridCol w:w="3738"/>
      </w:tblGrid>
      <w:tr w:rsidR="00000000" w14:paraId="7708D056" w14:textId="77777777">
        <w:trPr>
          <w:divId w:val="1649897928"/>
          <w:tblHeader/>
        </w:trPr>
        <w:tc>
          <w:tcPr>
            <w:tcW w:w="10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BB839D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  <w:t>Role</w:t>
            </w:r>
          </w:p>
        </w:tc>
        <w:tc>
          <w:tcPr>
            <w:tcW w:w="20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B50C09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  <w:t>Operational Scope</w:t>
            </w:r>
          </w:p>
        </w:tc>
        <w:tc>
          <w:tcPr>
            <w:tcW w:w="20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9B5B43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  <w:t>Key Benefits</w:t>
            </w:r>
          </w:p>
        </w:tc>
      </w:tr>
      <w:tr w:rsidR="00000000" w14:paraId="19599090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2D5985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D01AE8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Full system configuration, financial settings, audit log review, statutory fund distributions, and final report generation.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A51D15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Complete administrative control, system auditing, and strategic oversight.</w:t>
            </w:r>
          </w:p>
        </w:tc>
      </w:tr>
      <w:tr w:rsidR="00000000" w14:paraId="2F2FDC85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0BA74D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Collector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1DF74A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 xml:space="preserve">Access to assigned routes, collection sheets, </w:t>
            </w: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recording member payments/deposits (offline), and submitting cash remittances.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A47BD8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Simplifies field data collection, eliminates paper sheets, and calculates cash-on-hand.</w:t>
            </w:r>
          </w:p>
        </w:tc>
      </w:tr>
      <w:tr w:rsidR="00000000" w14:paraId="2B67CA0F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2BA5FE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Loan-Encoder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8BECA5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Encodes borrower profiles, performs credit investigations (CI), draft loans</w:t>
            </w: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, and runs loan calculators.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025AF2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Ensures compliance with credit policies prior to board approval and disbursement.</w:t>
            </w:r>
          </w:p>
        </w:tc>
      </w:tr>
      <w:tr w:rsidR="00000000" w14:paraId="4D8BA238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BF7A9D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Payment-Encoder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CFB8B9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Records walk-in payments at the central office, manages over-the-counter transactions, and issues digital receipts.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EE42F6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Decouples ca</w:t>
            </w: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sh collection from accounting posting, enforcing internal controls.</w:t>
            </w:r>
          </w:p>
        </w:tc>
      </w:tr>
      <w:tr w:rsidR="00000000" w14:paraId="2F2417B5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DB29CC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Expenses-Encoder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DF165A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Logs operational disbursements, utility costs, salaries, and other daily cash outflows.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697115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Centralizes cost tracking and ensures all expenses flow directly into the income statements.</w:t>
            </w:r>
          </w:p>
        </w:tc>
      </w:tr>
      <w:tr w:rsidR="00000000" w14:paraId="0E514639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AE55F2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Borrower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23DA90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 xml:space="preserve">Self-service portal to view outstanding loan balances, repayment </w:t>
            </w: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schedules, and personal savings ledgers.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84A240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Enhances member trust and reduces inquiry load on cooperative staff.</w:t>
            </w:r>
          </w:p>
        </w:tc>
      </w:tr>
    </w:tbl>
    <w:p w14:paraId="5EFFAB6F" w14:textId="77777777" w:rsidR="00000000" w:rsidRDefault="00BF4414">
      <w:pPr>
        <w:pStyle w:val="Heading2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Platform Modules &amp; Features: Purpose and Benefits</w:t>
      </w:r>
    </w:p>
    <w:p w14:paraId="11609A0B" w14:textId="77777777" w:rsidR="00000000" w:rsidRDefault="00BF4414">
      <w:pPr>
        <w:pStyle w:val="Heading3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3.1 Membership &amp; Governance Module</w:t>
      </w:r>
    </w:p>
    <w:p w14:paraId="42024DDF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2D3748"/>
          <w:sz w:val="22"/>
          <w:szCs w:val="22"/>
          <w:lang w:val="en"/>
        </w:rPr>
        <w:t>Purpose: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 To manage the lifetime member journey, from init</w:t>
      </w:r>
      <w:r>
        <w:rPr>
          <w:rFonts w:ascii="Calibri" w:hAnsi="Calibri" w:cs="Calibri"/>
          <w:color w:val="2D3748"/>
          <w:sz w:val="22"/>
          <w:szCs w:val="22"/>
          <w:lang w:val="en"/>
        </w:rPr>
        <w:t>ial Pre-Membership Education Seminar (PMES) training to membership approval and general assembly registry tracking.</w:t>
      </w:r>
    </w:p>
    <w:p w14:paraId="6D722E7D" w14:textId="77777777" w:rsidR="00000000" w:rsidRDefault="00BF4414">
      <w:pPr>
        <w:numPr>
          <w:ilvl w:val="0"/>
          <w:numId w:val="3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PMES Participant Tracking: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Registers and tracks attendees of the mandatory PMES. Only certified participants can apply for membership.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</w:t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Strict adherence to Philippine cooperative bylaws on education. </w:t>
      </w:r>
    </w:p>
    <w:p w14:paraId="506E6061" w14:textId="77777777" w:rsidR="00000000" w:rsidRDefault="00BF4414">
      <w:pPr>
        <w:numPr>
          <w:ilvl w:val="0"/>
          <w:numId w:val="3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Onboarding &amp; Fee Registry: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Digitizes membership applications, collects the non-refundable ₱100.00 Membership Fee, and routes applications to the Education &amp; Board of Directors for approval.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Speeds up onboarding and eliminates paper filing backlogs. </w:t>
      </w:r>
    </w:p>
    <w:p w14:paraId="35744387" w14:textId="77777777" w:rsidR="00000000" w:rsidRDefault="00BF4414">
      <w:pPr>
        <w:numPr>
          <w:ilvl w:val="0"/>
          <w:numId w:val="3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Annual General Assembly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(AGA) Registry &amp; Attendance: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Tracks attendance during the annual assembly.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Facilitates quorum validation and automatically implements the 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AGA Absentee Rule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. </w:t>
      </w:r>
    </w:p>
    <w:p w14:paraId="484F6729" w14:textId="77777777" w:rsidR="00000000" w:rsidRDefault="00BF4414">
      <w:pPr>
        <w:numPr>
          <w:ilvl w:val="0"/>
          <w:numId w:val="3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Absentee Rule Automation: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Members absent from the AGA without a valid, BOD-approved wri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tten reason have their annual Patronage Refund automatically plowed back and converted directly into their Capital Build-Up (CBU)/Share Capital.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Incentivizes active governance participation while strengthening the cooperative's capital base. </w:t>
      </w:r>
    </w:p>
    <w:p w14:paraId="293576EC" w14:textId="77777777" w:rsidR="00000000" w:rsidRDefault="00BF4414">
      <w:pPr>
        <w:pStyle w:val="Heading3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3.2</w:t>
      </w:r>
      <w:r>
        <w:rPr>
          <w:rFonts w:ascii="Calibri" w:eastAsia="Times New Roman" w:hAnsi="Calibri" w:cs="Calibri"/>
          <w:lang w:val="en"/>
        </w:rPr>
        <w:t xml:space="preserve"> Capital Build-Up (CBU) &amp; Share Capital Management</w:t>
      </w:r>
    </w:p>
    <w:p w14:paraId="03200C36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2D3748"/>
          <w:sz w:val="22"/>
          <w:szCs w:val="22"/>
          <w:lang w:val="en"/>
        </w:rPr>
        <w:t>Purpose: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 To track, allocate, and grow the cooperative's core equity contributions (Share Capital) from its members.</w:t>
      </w:r>
    </w:p>
    <w:p w14:paraId="7F812A3D" w14:textId="77777777" w:rsidR="00000000" w:rsidRDefault="00BF4414">
      <w:pPr>
        <w:numPr>
          <w:ilvl w:val="0"/>
          <w:numId w:val="4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Subscription Tracking: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Tracks each member's subscribed shares (minimum 20 shares or ₱2,00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0.00) against their actual paid-up capital (minimum ₱500.00 initial investment).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Monitors compliance with equity commitments and tracks outstanding subscription receivables. </w:t>
      </w:r>
    </w:p>
    <w:p w14:paraId="193E4FF7" w14:textId="77777777" w:rsidR="00000000" w:rsidRDefault="00BF4414">
      <w:pPr>
        <w:numPr>
          <w:ilvl w:val="0"/>
          <w:numId w:val="4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Share Valuation Engine: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Enforces the standard ₱100.00 par value per sha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re.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Prevents calculation errors and guarantees uniform share distribution. </w:t>
      </w:r>
    </w:p>
    <w:p w14:paraId="068E6D35" w14:textId="77777777" w:rsidR="00000000" w:rsidRDefault="00BF4414">
      <w:pPr>
        <w:numPr>
          <w:ilvl w:val="0"/>
          <w:numId w:val="4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Dividend Eligibility Gates: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Enforces minimum maintaining balances and active status conditions for annual dividend distributions.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Ensures distributions are allo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cated strictly to compliant, active members. </w:t>
      </w:r>
    </w:p>
    <w:p w14:paraId="21003FC1" w14:textId="77777777" w:rsidR="00000000" w:rsidRDefault="00BF4414">
      <w:pPr>
        <w:pStyle w:val="Heading3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3.3 Cooperative Savings Program</w:t>
      </w:r>
    </w:p>
    <w:p w14:paraId="219A9D1E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2D3748"/>
          <w:sz w:val="22"/>
          <w:szCs w:val="22"/>
          <w:lang w:val="en"/>
        </w:rPr>
        <w:t>Purpose: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2D3748"/>
          <w:sz w:val="22"/>
          <w:szCs w:val="22"/>
          <w:lang w:val="en"/>
        </w:rPr>
        <w:t>To provide a secure deposit facility for members while calculating accurate quarterly interest payouts based on member savings behavior.</w:t>
      </w:r>
    </w:p>
    <w:p w14:paraId="438A3EBF" w14:textId="77777777" w:rsidR="00000000" w:rsidRDefault="00BF4414">
      <w:pPr>
        <w:numPr>
          <w:ilvl w:val="0"/>
          <w:numId w:val="5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Average Daily Balance (ADB) Calculator: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Automatically tracks deposits and withdrawals to calculate each member's monthl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y ADB.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Replaces complex manual spreadsheets with real-time, error-free interest computations. </w:t>
      </w:r>
    </w:p>
    <w:p w14:paraId="2995FDBB" w14:textId="77777777" w:rsidR="00000000" w:rsidRDefault="00BF4414">
      <w:pPr>
        <w:numPr>
          <w:ilvl w:val="0"/>
          <w:numId w:val="5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Quarterly Compounding Engine: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Compounds interest quarterly at the cooperative rate of 4.0% per annum, subject to a minimum maintaining balance of ₱100.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00.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Incentivizes savings and updates member passbooks automatically. </w:t>
      </w:r>
    </w:p>
    <w:p w14:paraId="7A33A853" w14:textId="77777777" w:rsidR="00000000" w:rsidRDefault="00BF4414">
      <w:pPr>
        <w:numPr>
          <w:ilvl w:val="0"/>
          <w:numId w:val="5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Delinquency Savings Freeze: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Automatically holds savings accounts when a member has an outstanding, past-due loan. Withdrawals are blocked, and balances can be automatically app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lied to outstanding debts.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Protects cooperative assets and reduces non-performing loans (NPLs). </w:t>
      </w:r>
    </w:p>
    <w:p w14:paraId="2ACD7D9A" w14:textId="77777777" w:rsidR="00000000" w:rsidRDefault="00BF4414">
      <w:pPr>
        <w:pStyle w:val="Heading3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3.4 Advanced Lending Module &amp; Loan Calculator</w:t>
      </w:r>
    </w:p>
    <w:p w14:paraId="285843C1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2D3748"/>
          <w:sz w:val="22"/>
          <w:szCs w:val="22"/>
          <w:lang w:val="en"/>
        </w:rPr>
        <w:t>Purpose: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 To enforce lending policies, perform credit assessments, compute releases, deduct statutory fe</w:t>
      </w:r>
      <w:r>
        <w:rPr>
          <w:rFonts w:ascii="Calibri" w:hAnsi="Calibri" w:cs="Calibri"/>
          <w:color w:val="2D3748"/>
          <w:sz w:val="22"/>
          <w:szCs w:val="22"/>
          <w:lang w:val="en"/>
        </w:rPr>
        <w:t>es, and schedule collections.</w:t>
      </w:r>
    </w:p>
    <w:p w14:paraId="5D2C0F8A" w14:textId="77777777" w:rsidR="00000000" w:rsidRDefault="00BF4414">
      <w:pPr>
        <w:numPr>
          <w:ilvl w:val="0"/>
          <w:numId w:val="6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Loan Classification System: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Pre-configures specific business rules for four loan types: </w:t>
      </w:r>
    </w:p>
    <w:p w14:paraId="7E5D0575" w14:textId="77777777" w:rsidR="00000000" w:rsidRDefault="00BF4414">
      <w:pPr>
        <w:numPr>
          <w:ilvl w:val="1"/>
          <w:numId w:val="6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Petty Cash Loan: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Maximum of 75% of paid-up capital, 0% interest, 2% service charge, 1-month term.</w:t>
      </w:r>
    </w:p>
    <w:p w14:paraId="51A76206" w14:textId="77777777" w:rsidR="00000000" w:rsidRDefault="00BF4414">
      <w:pPr>
        <w:numPr>
          <w:ilvl w:val="1"/>
          <w:numId w:val="6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Livelihood/Micro Finance Loan: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Up to ₱5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,000.00, 2% interest/month, 2% service charge, 2-month term.</w:t>
      </w:r>
    </w:p>
    <w:p w14:paraId="1D685839" w14:textId="77777777" w:rsidR="00000000" w:rsidRDefault="00BF4414">
      <w:pPr>
        <w:numPr>
          <w:ilvl w:val="1"/>
          <w:numId w:val="6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Salary Loan: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Up to ₱5,000.00, 2% interest/month, 2% service charge, 2-month term.</w:t>
      </w:r>
    </w:p>
    <w:p w14:paraId="470D4698" w14:textId="77777777" w:rsidR="00000000" w:rsidRDefault="00BF4414">
      <w:pPr>
        <w:numPr>
          <w:ilvl w:val="1"/>
          <w:numId w:val="6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Emergency Loan: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Up to ₱5,000.00 (requires collateral), 0% interest, 2% service charge, 1-month term.</w:t>
      </w:r>
    </w:p>
    <w:p w14:paraId="6359FE6C" w14:textId="77777777" w:rsidR="00000000" w:rsidRDefault="00BF4414">
      <w:pPr>
        <w:spacing w:beforeAutospacing="1"/>
        <w:ind w:left="72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Hardcodes policy limits directly into the software, preventing unauthorized overrides. </w:t>
      </w:r>
    </w:p>
    <w:p w14:paraId="0E8260D6" w14:textId="77777777" w:rsidR="00000000" w:rsidRDefault="00BF4414">
      <w:pPr>
        <w:numPr>
          <w:ilvl w:val="0"/>
          <w:numId w:val="6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Credit Investigation (CI) Log: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Records credit investigation details, co-ma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ker guarantees, and collateral valuations prior to board approval.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Creates an audit trail of credit assessments, protecting capital. </w:t>
      </w:r>
    </w:p>
    <w:p w14:paraId="3AC99EED" w14:textId="77777777" w:rsidR="00000000" w:rsidRDefault="00BF4414">
      <w:pPr>
        <w:numPr>
          <w:ilvl w:val="0"/>
          <w:numId w:val="6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Automated Loan Deductions: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Automatically computes and deducts standard charges from the gross loan principal upo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n release: </w:t>
      </w:r>
    </w:p>
    <w:p w14:paraId="63E2B1E1" w14:textId="77777777" w:rsidR="00000000" w:rsidRDefault="00BF4414">
      <w:pPr>
        <w:numPr>
          <w:ilvl w:val="1"/>
          <w:numId w:val="7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Association Reserve Fund (ARF): 2% of principal.</w:t>
      </w:r>
    </w:p>
    <w:p w14:paraId="0ACEDF08" w14:textId="77777777" w:rsidR="00000000" w:rsidRDefault="00BF4414">
      <w:pPr>
        <w:numPr>
          <w:ilvl w:val="1"/>
          <w:numId w:val="7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Cooperative Project Fund / CBU (CPF): 4% of principal.</w:t>
      </w:r>
    </w:p>
    <w:p w14:paraId="3D4EE4A9" w14:textId="77777777" w:rsidR="00000000" w:rsidRDefault="00BF4414">
      <w:pPr>
        <w:numPr>
          <w:ilvl w:val="1"/>
          <w:numId w:val="7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Processing Fee: 3% of principal.</w:t>
      </w:r>
    </w:p>
    <w:p w14:paraId="16A70E6C" w14:textId="77777777" w:rsidR="00000000" w:rsidRDefault="00BF4414">
      <w:pPr>
        <w:numPr>
          <w:ilvl w:val="1"/>
          <w:numId w:val="7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Documentary Stamp Tax (DST): Flat ₱45.00 (standard) or 0.75% of principal (institutional).</w:t>
      </w:r>
    </w:p>
    <w:p w14:paraId="21E115B6" w14:textId="77777777" w:rsidR="00000000" w:rsidRDefault="00BF4414">
      <w:pPr>
        <w:numPr>
          <w:ilvl w:val="1"/>
          <w:numId w:val="7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Notarial Fee (₱3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00.00), Risk Share Fund (₱60.00), and Loan Handling Fee (₱100.00).</w:t>
      </w:r>
    </w:p>
    <w:p w14:paraId="530A9DBD" w14:textId="77777777" w:rsidR="00000000" w:rsidRDefault="00BF4414">
      <w:pPr>
        <w:spacing w:beforeAutospacing="1"/>
        <w:ind w:left="72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Guarantees exact net release calculations and automatically posts fees to the appropriate revenue accounts. </w:t>
      </w:r>
    </w:p>
    <w:p w14:paraId="59524575" w14:textId="77777777" w:rsidR="00000000" w:rsidRDefault="00BF4414">
      <w:pPr>
        <w:numPr>
          <w:ilvl w:val="0"/>
          <w:numId w:val="7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Repayment Schedule Generator: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Automatically creates daily, weekly, or s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emi-monthly amortization schedules based on the release date. Includes the 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Skip-Sunday Rule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to ensure no collections are scheduled on Sundays.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Standardizes expectations and optimizes the collector's daily routing schedule. </w:t>
      </w:r>
    </w:p>
    <w:p w14:paraId="443F85A0" w14:textId="77777777" w:rsidR="00000000" w:rsidRDefault="00BF4414">
      <w:pPr>
        <w:pStyle w:val="Heading3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3.5 Field Collection &amp;</w:t>
      </w:r>
      <w:r>
        <w:rPr>
          <w:rFonts w:ascii="Calibri" w:eastAsia="Times New Roman" w:hAnsi="Calibri" w:cs="Calibri"/>
          <w:lang w:val="en"/>
        </w:rPr>
        <w:t xml:space="preserve"> Remittance Workflow</w:t>
      </w:r>
    </w:p>
    <w:p w14:paraId="53F62916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2D3748"/>
          <w:sz w:val="22"/>
          <w:szCs w:val="22"/>
          <w:lang w:val="en"/>
        </w:rPr>
        <w:t>Purpose: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 To secure the daily collection pipeline, validate field cash collections, and track collector efficiency metrics.</w:t>
      </w:r>
    </w:p>
    <w:p w14:paraId="2593024B" w14:textId="77777777" w:rsidR="00000000" w:rsidRDefault="00BF4414">
      <w:pPr>
        <w:numPr>
          <w:ilvl w:val="0"/>
          <w:numId w:val="8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Offline Digital Collection Sheet: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Lists borrowers by route and indicates their expected daily amortization. Collector inputs payment amounts offline.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Eliminates paper sheets, reduces input errors, and functions in remote areas. </w:t>
      </w:r>
    </w:p>
    <w:p w14:paraId="13CBADCC" w14:textId="77777777" w:rsidR="00000000" w:rsidRDefault="00BF4414">
      <w:pPr>
        <w:numPr>
          <w:ilvl w:val="0"/>
          <w:numId w:val="8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GPS Location Mapping: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Logs the geographic coordinat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es (latitude and longitude) of every collection transaction.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Verifies field collector activity and provides location verification for audits. </w:t>
      </w:r>
    </w:p>
    <w:p w14:paraId="07D72795" w14:textId="77777777" w:rsidR="00000000" w:rsidRDefault="00BF4414">
      <w:pPr>
        <w:numPr>
          <w:ilvl w:val="0"/>
          <w:numId w:val="8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Remittance Approval Workflow: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Field collections calculate a "Cash on Hand" total for the collector. The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collector hands over cash to the treasurer, who reviews the collection log and clicks "Approve" or "Reject".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Establishes strict custody transfers, preventing cash leakages. </w:t>
      </w:r>
    </w:p>
    <w:p w14:paraId="641622A5" w14:textId="77777777" w:rsidR="00000000" w:rsidRDefault="00BF4414">
      <w:pPr>
        <w:pStyle w:val="Heading2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CDA Compliance &amp; Accounting Integration</w:t>
      </w:r>
    </w:p>
    <w:p w14:paraId="403BF187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Fonts w:ascii="Calibri" w:hAnsi="Calibri" w:cs="Calibri"/>
          <w:color w:val="2D3748"/>
          <w:sz w:val="22"/>
          <w:szCs w:val="22"/>
          <w:lang w:val="en"/>
        </w:rPr>
        <w:t>InfinityFinance is built aro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und a double-entry general ledger accounting system. Rather than tracking balances in isolation, every operational action triggers a structured accounting entry that updates the general ledger. </w:t>
      </w:r>
    </w:p>
    <w:p w14:paraId="56AD9CDC" w14:textId="77777777" w:rsidR="00000000" w:rsidRDefault="00BF4414">
      <w:pPr>
        <w:pStyle w:val="Heading3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4.1 CDA-Aligned Chart of Accounts</w:t>
      </w:r>
    </w:p>
    <w:p w14:paraId="5D679570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Fonts w:ascii="Calibri" w:hAnsi="Calibri" w:cs="Calibri"/>
          <w:color w:val="2D3748"/>
          <w:sz w:val="22"/>
          <w:szCs w:val="22"/>
          <w:lang w:val="en"/>
        </w:rPr>
        <w:t>The system pre-configures s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tandard account codes set by the Cooperative Development Authority (CDA) of the Philippines: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3738"/>
        <w:gridCol w:w="3738"/>
      </w:tblGrid>
      <w:tr w:rsidR="00000000" w14:paraId="15D54881" w14:textId="77777777">
        <w:trPr>
          <w:divId w:val="1649897928"/>
          <w:tblHeader/>
        </w:trPr>
        <w:tc>
          <w:tcPr>
            <w:tcW w:w="10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DCCAA4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  <w:t>Account Code</w:t>
            </w:r>
          </w:p>
        </w:tc>
        <w:tc>
          <w:tcPr>
            <w:tcW w:w="20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56F76E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  <w:t>Account Title</w:t>
            </w:r>
          </w:p>
        </w:tc>
        <w:tc>
          <w:tcPr>
            <w:tcW w:w="20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5F087B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  <w:t>Automated Operations</w:t>
            </w:r>
          </w:p>
        </w:tc>
      </w:tr>
      <w:tr w:rsidR="00000000" w14:paraId="66B40C2C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4B2CF8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1010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08F11A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Cash on Hand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161F1A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Debited upon collection sheet approval; Credited upon loan release.</w:t>
            </w:r>
          </w:p>
        </w:tc>
      </w:tr>
      <w:tr w:rsidR="00000000" w14:paraId="16C49801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43EB1F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1020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9FD6C2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Cash in Bank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FEA9CA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Updated upon bank deposit or payroll bank disbursements.</w:t>
            </w:r>
          </w:p>
        </w:tc>
      </w:tr>
      <w:tr w:rsidR="00000000" w14:paraId="1CC199DA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082E51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1100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E585A2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Loans Receivable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447822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Debited upon gross loan release; Credited when principal payments are posted.</w:t>
            </w:r>
          </w:p>
        </w:tc>
      </w:tr>
      <w:tr w:rsidR="00000000" w14:paraId="58DFABD2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381071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2010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DBAD7E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Savings Deposits Payable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9BB0EF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Credited during member deposits; Debited during withdrawals or past-due loan offsets.</w:t>
            </w:r>
          </w:p>
        </w:tc>
      </w:tr>
      <w:tr w:rsidR="00000000" w14:paraId="2E3CA0FD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CF7FD1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3010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673751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Share Capital (CBU)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C1CF5B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Credited upon share purchases or pl</w:t>
            </w: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owed-back patronage refunds.</w:t>
            </w:r>
          </w:p>
        </w:tc>
      </w:tr>
      <w:tr w:rsidR="00000000" w14:paraId="235E091E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F8D5F6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4010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352637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Interest Income on Loans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0802BE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Credited automatically when loan interest is collected.</w:t>
            </w:r>
          </w:p>
        </w:tc>
      </w:tr>
      <w:tr w:rsidR="00000000" w14:paraId="4DFFA9AC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90926C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4020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4E20DC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Service Charges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4F79C7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Credited automatically during loan deduction calculations.</w:t>
            </w:r>
          </w:p>
        </w:tc>
      </w:tr>
      <w:tr w:rsidR="00000000" w14:paraId="00BB7186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1D1847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5000+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39521B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Operating Expenses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0FA860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Debited when expenses are encoded</w:t>
            </w: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 xml:space="preserve"> by the Expenses-Encoder.</w:t>
            </w:r>
          </w:p>
        </w:tc>
      </w:tr>
    </w:tbl>
    <w:p w14:paraId="31FEE4E4" w14:textId="77777777" w:rsidR="00000000" w:rsidRDefault="00BF4414">
      <w:pPr>
        <w:pStyle w:val="Heading3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4.2 Accounting Period Controls</w:t>
      </w:r>
    </w:p>
    <w:p w14:paraId="1A9FD60C" w14:textId="77777777" w:rsidR="00000000" w:rsidRDefault="00BF4414">
      <w:pPr>
        <w:numPr>
          <w:ilvl w:val="0"/>
          <w:numId w:val="9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Accounting Period History: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Tracks active and historical periods.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Organizes financial data chronologically. </w:t>
      </w:r>
    </w:p>
    <w:p w14:paraId="00E359D3" w14:textId="77777777" w:rsidR="00000000" w:rsidRDefault="00BF4414">
      <w:pPr>
        <w:numPr>
          <w:ilvl w:val="0"/>
          <w:numId w:val="9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Monthly &amp; Yearly Closing Locks: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Admins can officially close an accounting period. Once closed, no historical transactions can be added, modified, or deleted.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Enforces audit integrity, prevents retrospective adjustments, and ensures financial reports match submitted tax and regu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latory records. </w:t>
      </w:r>
    </w:p>
    <w:p w14:paraId="2CF9AC1D" w14:textId="77777777" w:rsidR="00000000" w:rsidRDefault="00BF4414">
      <w:pPr>
        <w:pStyle w:val="Heading2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Compliance &amp; Automated Reporting Modules</w:t>
      </w:r>
    </w:p>
    <w:p w14:paraId="014C9611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Regulatory reporting is often a bottleneck for cooperatives, requiring weeks of manual data assembly. InfinityFinance automates these reports, generating them directly from the ledger. </w:t>
      </w:r>
    </w:p>
    <w:p w14:paraId="7225B003" w14:textId="77777777" w:rsidR="00000000" w:rsidRDefault="00BF4414">
      <w:pPr>
        <w:pStyle w:val="Heading3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5.1 CDA-A</w:t>
      </w:r>
      <w:r>
        <w:rPr>
          <w:rFonts w:ascii="Calibri" w:eastAsia="Times New Roman" w:hAnsi="Calibri" w:cs="Calibri"/>
          <w:lang w:val="en"/>
        </w:rPr>
        <w:t>ligned Financial Reports</w:t>
      </w:r>
    </w:p>
    <w:p w14:paraId="2ADE58E1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The system outputs reports formatted to match the Cooperative Development Authority standards: </w:t>
      </w:r>
    </w:p>
    <w:p w14:paraId="2F04836F" w14:textId="77777777" w:rsidR="00000000" w:rsidRDefault="00BF4414">
      <w:pPr>
        <w:numPr>
          <w:ilvl w:val="0"/>
          <w:numId w:val="10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Statement of Financial Condition (Balance Sheet):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Lists Assets, Liabilities, and Equity (including Statutory Funds and Retained Surplus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).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Shows the cooperative's real-time financial health. </w:t>
      </w:r>
    </w:p>
    <w:p w14:paraId="5B330F0A" w14:textId="77777777" w:rsidR="00000000" w:rsidRDefault="00BF4414">
      <w:pPr>
        <w:numPr>
          <w:ilvl w:val="0"/>
          <w:numId w:val="10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Statement of Operations (Income Statement):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Details credit revenues (interest, service charges, penalties) and operational expenses.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Computes Net Surplus (income) for any given per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iod. </w:t>
      </w:r>
    </w:p>
    <w:p w14:paraId="50D4EB0B" w14:textId="77777777" w:rsidR="00000000" w:rsidRDefault="00BF4414">
      <w:pPr>
        <w:numPr>
          <w:ilvl w:val="0"/>
          <w:numId w:val="10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Statement of Changes in Equity: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Tracks subscriptions, capital build-ups, and statutory reserve additions.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Documents capital growth. </w:t>
      </w:r>
    </w:p>
    <w:p w14:paraId="1349DADE" w14:textId="77777777" w:rsidR="00000000" w:rsidRDefault="00BF4414">
      <w:pPr>
        <w:numPr>
          <w:ilvl w:val="0"/>
          <w:numId w:val="10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Notes to Financial Statements: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Generates standard disclosure notes and breakdown ledgers.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Benefit: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Speeds up annual audit preparation. </w:t>
      </w:r>
    </w:p>
    <w:p w14:paraId="135E3045" w14:textId="77777777" w:rsidR="00000000" w:rsidRDefault="00BF4414">
      <w:pPr>
        <w:pStyle w:val="Heading3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5.2 Automated Statutory Reserve Allocations</w:t>
      </w:r>
    </w:p>
    <w:p w14:paraId="1F6E94B2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Fonts w:ascii="Calibri" w:hAnsi="Calibri" w:cs="Calibri"/>
          <w:color w:val="2D3748"/>
          <w:sz w:val="22"/>
          <w:szCs w:val="22"/>
          <w:lang w:val="en"/>
        </w:rPr>
        <w:t>Under R.A. 9520 (Philippine Cooperative Code), net surplus must be divided into statutory reserve funds. I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nfinityFinance automates these splits at year-end: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1869"/>
        <w:gridCol w:w="5139"/>
      </w:tblGrid>
      <w:tr w:rsidR="00000000" w14:paraId="64FFA2B2" w14:textId="77777777">
        <w:trPr>
          <w:divId w:val="1649897928"/>
          <w:tblHeader/>
        </w:trPr>
        <w:tc>
          <w:tcPr>
            <w:tcW w:w="125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4B2B08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  <w:t>Fund</w:t>
            </w:r>
          </w:p>
        </w:tc>
        <w:tc>
          <w:tcPr>
            <w:tcW w:w="10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BEBEDB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  <w:t>Percentage</w:t>
            </w:r>
          </w:p>
        </w:tc>
        <w:tc>
          <w:tcPr>
            <w:tcW w:w="275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AC8F3B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  <w:t>Regulatory Purpose &amp; System Action</w:t>
            </w:r>
          </w:p>
        </w:tc>
      </w:tr>
      <w:tr w:rsidR="00000000" w14:paraId="20AFEB19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1185D1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General Reserve Fund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478622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10.0%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F18CB5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 xml:space="preserve">Buffer for operational losses. Locked in account code </w:t>
            </w:r>
            <w:r>
              <w:rPr>
                <w:rStyle w:val="HTMLCode"/>
                <w:color w:val="2D3748"/>
              </w:rPr>
              <w:t>3020</w:t>
            </w: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; cannot be distributed.</w:t>
            </w:r>
          </w:p>
        </w:tc>
      </w:tr>
      <w:tr w:rsidR="00000000" w14:paraId="42BBEB19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DAF4ED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 xml:space="preserve">Education &amp; </w:t>
            </w: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Training Fund (CETF)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F2EF94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10.0%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DDE58C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 xml:space="preserve">Allocated to account code </w:t>
            </w:r>
            <w:r>
              <w:rPr>
                <w:rStyle w:val="HTMLCode"/>
                <w:color w:val="2D3748"/>
              </w:rPr>
              <w:t>3030</w:t>
            </w: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. Splits 50% for local coop trainings and 50% remitted to the union/federation.</w:t>
            </w:r>
          </w:p>
        </w:tc>
      </w:tr>
      <w:tr w:rsidR="00000000" w14:paraId="68F552D7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37039C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Community Development Fund (CDF)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92563B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3.0%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02F81E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 xml:space="preserve">Allocated to account code </w:t>
            </w:r>
            <w:r>
              <w:rPr>
                <w:rStyle w:val="HTMLCode"/>
                <w:color w:val="2D3748"/>
              </w:rPr>
              <w:t>3040</w:t>
            </w: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 xml:space="preserve"> for community outreach projects.</w:t>
            </w:r>
          </w:p>
        </w:tc>
      </w:tr>
      <w:tr w:rsidR="00000000" w14:paraId="6A81B7C4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77E7EF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Optional Fund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098FE4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7</w:t>
            </w: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.0%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E21663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 xml:space="preserve">Allocated to account code </w:t>
            </w:r>
            <w:r>
              <w:rPr>
                <w:rStyle w:val="HTMLCode"/>
                <w:color w:val="2D3748"/>
              </w:rPr>
              <w:t>3050</w:t>
            </w: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 xml:space="preserve"> for land, buildings, and computerization projects.</w:t>
            </w:r>
          </w:p>
        </w:tc>
      </w:tr>
      <w:tr w:rsidR="00000000" w14:paraId="2370F9F5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EFCB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73D850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Distributable Net Surplus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EFCB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3E1D13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D3748"/>
                <w:sz w:val="20"/>
                <w:szCs w:val="20"/>
              </w:rPr>
              <w:t>70.0%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EFCB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EE3B97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D3748"/>
                <w:sz w:val="20"/>
                <w:szCs w:val="20"/>
              </w:rPr>
              <w:t>Transferred to the member benefits pool. Splits into 70% Interest on Share Capital (ISC) and 30% Patronage Refund (PR).</w:t>
            </w:r>
          </w:p>
        </w:tc>
      </w:tr>
    </w:tbl>
    <w:p w14:paraId="4031E746" w14:textId="77777777" w:rsidR="00000000" w:rsidRDefault="00BF4414">
      <w:pPr>
        <w:pStyle w:val="Heading3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5.3 CIC Automated Credit Reporting Module</w:t>
      </w:r>
    </w:p>
    <w:p w14:paraId="558235E8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2D3748"/>
          <w:sz w:val="22"/>
          <w:szCs w:val="22"/>
          <w:lang w:val="en"/>
        </w:rPr>
        <w:t>Regulatory Context: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Republic Act No. 9510 (Credit Information System Act) mandates that all lending institutions and cooperatives in the Philippines submit basic credit data and update member credit records monthly with the </w:t>
      </w:r>
      <w:r>
        <w:rPr>
          <w:rStyle w:val="Strong"/>
          <w:rFonts w:ascii="Calibri" w:hAnsi="Calibri" w:cs="Calibri"/>
          <w:color w:val="2D3748"/>
          <w:sz w:val="22"/>
          <w:szCs w:val="22"/>
          <w:lang w:val="en"/>
        </w:rPr>
        <w:t>Credit Information Corporation (CIC)</w:t>
      </w:r>
      <w:r>
        <w:rPr>
          <w:rFonts w:ascii="Calibri" w:hAnsi="Calibri" w:cs="Calibri"/>
          <w:color w:val="2D3748"/>
          <w:sz w:val="22"/>
          <w:szCs w:val="22"/>
          <w:lang w:val="en"/>
        </w:rPr>
        <w:t>.</w:t>
      </w:r>
    </w:p>
    <w:p w14:paraId="7F5AD813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2D3748"/>
          <w:sz w:val="22"/>
          <w:szCs w:val="22"/>
          <w:lang w:val="en"/>
        </w:rPr>
        <w:t>System Feature</w:t>
      </w:r>
      <w:r>
        <w:rPr>
          <w:rStyle w:val="Strong"/>
          <w:rFonts w:ascii="Calibri" w:hAnsi="Calibri" w:cs="Calibri"/>
          <w:color w:val="2D3748"/>
          <w:sz w:val="22"/>
          <w:szCs w:val="22"/>
          <w:lang w:val="en"/>
        </w:rPr>
        <w:t>s &amp; Functions:</w:t>
      </w:r>
    </w:p>
    <w:p w14:paraId="5B204617" w14:textId="77777777" w:rsidR="00000000" w:rsidRDefault="00BF4414">
      <w:pPr>
        <w:numPr>
          <w:ilvl w:val="0"/>
          <w:numId w:val="11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Data Formatting: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Extracts borrower profiles, loan balances, repayment histories, and delinquency statuses, formatting them to meet CIC requirements.</w:t>
      </w:r>
    </w:p>
    <w:p w14:paraId="002DBD7F" w14:textId="77777777" w:rsidR="00000000" w:rsidRDefault="00BF4414">
      <w:pPr>
        <w:numPr>
          <w:ilvl w:val="0"/>
          <w:numId w:val="11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Automated Extraction: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Consolidates data from the database, eliminating manual data entry.</w:t>
      </w:r>
    </w:p>
    <w:p w14:paraId="75CB5C25" w14:textId="77777777" w:rsidR="00000000" w:rsidRDefault="00BF4414">
      <w:pPr>
        <w:numPr>
          <w:ilvl w:val="0"/>
          <w:numId w:val="11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Va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lidation Checks: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Validates fields (e.g., tax numbers, birthdates) before output to prevent transmission errors.</w:t>
      </w:r>
    </w:p>
    <w:p w14:paraId="159ADB53" w14:textId="77777777" w:rsidR="00000000" w:rsidRDefault="00BF4414">
      <w:pPr>
        <w:numPr>
          <w:ilvl w:val="0"/>
          <w:numId w:val="11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Submission Ready: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Outputs a standardized submission file for direct upload to the CIC portal.</w:t>
      </w:r>
    </w:p>
    <w:p w14:paraId="70DCC5F5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2D3748"/>
          <w:sz w:val="22"/>
          <w:szCs w:val="22"/>
          <w:lang w:val="en"/>
        </w:rPr>
        <w:t>Benefits:</w:t>
      </w:r>
    </w:p>
    <w:p w14:paraId="60A33ACB" w14:textId="77777777" w:rsidR="00000000" w:rsidRDefault="00BF4414">
      <w:pPr>
        <w:numPr>
          <w:ilvl w:val="0"/>
          <w:numId w:val="12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Ensures full regulatory compliance, avoi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ding penalties from the CIC.</w:t>
      </w:r>
    </w:p>
    <w:p w14:paraId="71136213" w14:textId="77777777" w:rsidR="00000000" w:rsidRDefault="00BF4414">
      <w:pPr>
        <w:numPr>
          <w:ilvl w:val="0"/>
          <w:numId w:val="12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Saves staff time by automating data compilation.</w:t>
      </w:r>
    </w:p>
    <w:p w14:paraId="0FA65510" w14:textId="77777777" w:rsidR="00000000" w:rsidRDefault="00BF4414">
      <w:pPr>
        <w:numPr>
          <w:ilvl w:val="0"/>
          <w:numId w:val="12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Promotes credit transparency and helps members build verifiable credit histories.</w:t>
      </w:r>
    </w:p>
    <w:p w14:paraId="7B19F87D" w14:textId="77777777" w:rsidR="00000000" w:rsidRDefault="00BF4414">
      <w:pPr>
        <w:pStyle w:val="Heading3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5.4 LandBank Payroll &amp; Disbursement Register Export</w:t>
      </w:r>
    </w:p>
    <w:p w14:paraId="2E5EBDA9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2D3748"/>
          <w:sz w:val="22"/>
          <w:szCs w:val="22"/>
          <w:lang w:val="en"/>
        </w:rPr>
        <w:t>Purpose: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 To automate loan releases and divid</w:t>
      </w:r>
      <w:r>
        <w:rPr>
          <w:rFonts w:ascii="Calibri" w:hAnsi="Calibri" w:cs="Calibri"/>
          <w:color w:val="2D3748"/>
          <w:sz w:val="22"/>
          <w:szCs w:val="22"/>
          <w:lang w:val="en"/>
        </w:rPr>
        <w:t>end distributions by generating payroll register files compatible with Land Bank of the Philippines (LBP) banking portals.</w:t>
      </w:r>
    </w:p>
    <w:p w14:paraId="039EC5C1" w14:textId="77777777" w:rsidR="00000000" w:rsidRDefault="00BF4414">
      <w:pPr>
        <w:numPr>
          <w:ilvl w:val="0"/>
          <w:numId w:val="13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Account Mapping: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Links member records to verified LBP account numbers.</w:t>
      </w:r>
    </w:p>
    <w:p w14:paraId="7D1529EB" w14:textId="77777777" w:rsidR="00000000" w:rsidRDefault="00BF4414">
      <w:pPr>
        <w:numPr>
          <w:ilvl w:val="0"/>
          <w:numId w:val="13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Automatic Payroll Generation: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Groups approved disbursements an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d formats them to meet LandBank requirements.</w:t>
      </w:r>
    </w:p>
    <w:p w14:paraId="2FF60E0A" w14:textId="77777777" w:rsidR="00000000" w:rsidRDefault="00BF4414">
      <w:pPr>
        <w:numPr>
          <w:ilvl w:val="0"/>
          <w:numId w:val="13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Register File Export: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Outputs a text or CSV file containing account names, numbers, and disbursement amounts.</w:t>
      </w:r>
    </w:p>
    <w:p w14:paraId="0D855E3E" w14:textId="77777777" w:rsidR="00000000" w:rsidRDefault="00BF4414">
      <w:pPr>
        <w:numPr>
          <w:ilvl w:val="0"/>
          <w:numId w:val="13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Benefits: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Saves Time: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Eliminates the need to enter disbursements manually into banking portals.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Re</w:t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duces Risk: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Prevents typos, ensuring funds are sent to the correct accounts. </w:t>
      </w:r>
    </w:p>
    <w:p w14:paraId="507D2460" w14:textId="77777777" w:rsidR="00000000" w:rsidRDefault="00BF4414">
      <w:pPr>
        <w:pStyle w:val="Heading3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5.5 Creditors Group Life (CGL) Insurance Summary</w:t>
      </w:r>
    </w:p>
    <w:p w14:paraId="6BE94506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2D3748"/>
          <w:sz w:val="22"/>
          <w:szCs w:val="22"/>
          <w:lang w:val="en"/>
        </w:rPr>
        <w:t>Purpose: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2D3748"/>
          <w:sz w:val="22"/>
          <w:szCs w:val="22"/>
          <w:lang w:val="en"/>
        </w:rPr>
        <w:t>To manage group life insurance coverage for active borrowers, protecting the cooperative from outstanding debt loss if a borrower passes away.</w:t>
      </w:r>
    </w:p>
    <w:p w14:paraId="6F09E253" w14:textId="77777777" w:rsidR="00000000" w:rsidRDefault="00BF4414">
      <w:pPr>
        <w:numPr>
          <w:ilvl w:val="0"/>
          <w:numId w:val="14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Insurance List: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Lists active borrowers, loan amounts, and coverage dates.</w:t>
      </w:r>
    </w:p>
    <w:p w14:paraId="693C80C3" w14:textId="77777777" w:rsidR="00000000" w:rsidRDefault="00BF4414">
      <w:pPr>
        <w:numPr>
          <w:ilvl w:val="0"/>
          <w:numId w:val="14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Automatic Premium Calculator: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Computes premium deductions based on loan amounts and terms.</w:t>
      </w:r>
    </w:p>
    <w:p w14:paraId="5124A75C" w14:textId="77777777" w:rsidR="00000000" w:rsidRDefault="00BF4414">
      <w:pPr>
        <w:numPr>
          <w:ilvl w:val="0"/>
          <w:numId w:val="14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Reporting: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Generates monthly summaries for submission to the insurance provider.</w:t>
      </w:r>
    </w:p>
    <w:p w14:paraId="06354B31" w14:textId="77777777" w:rsidR="00000000" w:rsidRDefault="00BF4414">
      <w:pPr>
        <w:numPr>
          <w:ilvl w:val="0"/>
          <w:numId w:val="14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Benefits: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Mitigates Risk: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Ensures all active loans are covered by insurance. 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br/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Simpl</w:t>
      </w:r>
      <w:r>
        <w:rPr>
          <w:rStyle w:val="Emphasis"/>
          <w:rFonts w:ascii="Calibri" w:eastAsia="Times New Roman" w:hAnsi="Calibri" w:cs="Calibri"/>
          <w:color w:val="2D3748"/>
          <w:sz w:val="22"/>
          <w:szCs w:val="22"/>
          <w:lang w:val="en"/>
        </w:rPr>
        <w:t>ifies Admin Work: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Automates the creation of monthly insurance registers. </w:t>
      </w:r>
    </w:p>
    <w:p w14:paraId="45925750" w14:textId="77777777" w:rsidR="00000000" w:rsidRDefault="00BF4414">
      <w:pPr>
        <w:pStyle w:val="Heading2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Technical Proposal &amp; Implementation Roadmap</w:t>
      </w:r>
    </w:p>
    <w:p w14:paraId="1A2C80F7" w14:textId="77777777" w:rsidR="00000000" w:rsidRDefault="00BF4414">
      <w:pPr>
        <w:pStyle w:val="NormalWeb"/>
        <w:divId w:val="1649897928"/>
        <w:rPr>
          <w:rFonts w:ascii="Calibri" w:hAnsi="Calibri" w:cs="Calibri"/>
          <w:color w:val="2D3748"/>
          <w:sz w:val="22"/>
          <w:szCs w:val="22"/>
          <w:lang w:val="en"/>
        </w:rPr>
      </w:pP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Implementing InfinityFinance involves setting up cloud infrastructure, deploying applications, migrating historical data, and training </w:t>
      </w:r>
      <w:r>
        <w:rPr>
          <w:rFonts w:ascii="Calibri" w:hAnsi="Calibri" w:cs="Calibri"/>
          <w:color w:val="2D3748"/>
          <w:sz w:val="22"/>
          <w:szCs w:val="22"/>
          <w:lang w:val="en"/>
        </w:rPr>
        <w:t xml:space="preserve">staff. </w:t>
      </w:r>
    </w:p>
    <w:p w14:paraId="385C4299" w14:textId="77777777" w:rsidR="00000000" w:rsidRDefault="00BF4414">
      <w:pPr>
        <w:pStyle w:val="Heading3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6.1 Infrastructure Deployment Options</w:t>
      </w:r>
    </w:p>
    <w:p w14:paraId="4673AA45" w14:textId="77777777" w:rsidR="00000000" w:rsidRDefault="00BF4414">
      <w:pPr>
        <w:numPr>
          <w:ilvl w:val="0"/>
          <w:numId w:val="15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Cloud-Hosted Model (Recommended):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</w:t>
      </w:r>
    </w:p>
    <w:p w14:paraId="5E57E5DE" w14:textId="77777777" w:rsidR="00000000" w:rsidRDefault="00BF4414">
      <w:pPr>
        <w:numPr>
          <w:ilvl w:val="1"/>
          <w:numId w:val="15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Supabase database hosted on AWS.</w:t>
      </w:r>
    </w:p>
    <w:p w14:paraId="6D1A5674" w14:textId="77777777" w:rsidR="00000000" w:rsidRDefault="00BF4414">
      <w:pPr>
        <w:numPr>
          <w:ilvl w:val="1"/>
          <w:numId w:val="15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Admin web panel hosted on Cloudflare Pages.</w:t>
      </w:r>
    </w:p>
    <w:p w14:paraId="2673940E" w14:textId="77777777" w:rsidR="00000000" w:rsidRDefault="00BF4414">
      <w:pPr>
        <w:numPr>
          <w:ilvl w:val="1"/>
          <w:numId w:val="15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Mobile applications distributed via Expo Application Services (EAS) for Android and iOS.</w:t>
      </w:r>
    </w:p>
    <w:p w14:paraId="3B03B6ED" w14:textId="77777777" w:rsidR="00000000" w:rsidRDefault="00BF4414">
      <w:pPr>
        <w:numPr>
          <w:ilvl w:val="0"/>
          <w:numId w:val="15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Local Net</w:t>
      </w:r>
      <w:r>
        <w:rPr>
          <w:rStyle w:val="Strong"/>
          <w:rFonts w:ascii="Calibri" w:eastAsia="Times New Roman" w:hAnsi="Calibri" w:cs="Calibri"/>
          <w:color w:val="2D3748"/>
          <w:sz w:val="22"/>
          <w:szCs w:val="22"/>
          <w:lang w:val="en"/>
        </w:rPr>
        <w:t>work Model:</w:t>
      </w: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 xml:space="preserve"> </w:t>
      </w:r>
    </w:p>
    <w:p w14:paraId="188D73C6" w14:textId="77777777" w:rsidR="00000000" w:rsidRDefault="00BF4414">
      <w:pPr>
        <w:numPr>
          <w:ilvl w:val="1"/>
          <w:numId w:val="15"/>
        </w:numPr>
        <w:spacing w:before="100" w:beforeAutospacing="1" w:after="90"/>
        <w:divId w:val="1649897928"/>
        <w:rPr>
          <w:rFonts w:ascii="Calibri" w:eastAsia="Times New Roman" w:hAnsi="Calibri" w:cs="Calibri"/>
          <w:color w:val="2D3748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2D3748"/>
          <w:sz w:val="22"/>
          <w:szCs w:val="22"/>
          <w:lang w:val="en"/>
        </w:rPr>
        <w:t>Local SQLite/LokiJS backups synced to an on-premise server.</w:t>
      </w:r>
    </w:p>
    <w:p w14:paraId="059F25F6" w14:textId="77777777" w:rsidR="00000000" w:rsidRDefault="00BF4414">
      <w:pPr>
        <w:pStyle w:val="Heading3"/>
        <w:divId w:val="16498979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6.2 Implementation Phases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803"/>
        <w:gridCol w:w="5139"/>
      </w:tblGrid>
      <w:tr w:rsidR="00000000" w14:paraId="58F17564" w14:textId="77777777">
        <w:trPr>
          <w:divId w:val="1649897928"/>
          <w:tblHeader/>
        </w:trPr>
        <w:tc>
          <w:tcPr>
            <w:tcW w:w="75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7FF63B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  <w:t>Phase</w:t>
            </w:r>
          </w:p>
        </w:tc>
        <w:tc>
          <w:tcPr>
            <w:tcW w:w="150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16012F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  <w:t>Focus Areas</w:t>
            </w:r>
          </w:p>
        </w:tc>
        <w:tc>
          <w:tcPr>
            <w:tcW w:w="2750" w:type="pct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385A6A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0"/>
                <w:szCs w:val="20"/>
              </w:rPr>
              <w:t>Key Deliverables</w:t>
            </w:r>
          </w:p>
        </w:tc>
      </w:tr>
      <w:tr w:rsidR="00000000" w14:paraId="1F844932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3151D9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1DC779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System Setup &amp; Database Seeding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7A5E67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Set up Supabase database; configure initial user roles and permissions; seed default CDA Chart of Accounts.</w:t>
            </w:r>
          </w:p>
        </w:tc>
      </w:tr>
      <w:tr w:rsidR="00000000" w14:paraId="364B5222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F8CA59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77813D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Data Migration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A5D0E3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Import member records, historical balances, and active loans from existing spreadsheets. Run reconciliation audits.</w:t>
            </w:r>
          </w:p>
        </w:tc>
      </w:tr>
      <w:tr w:rsidR="00000000" w14:paraId="51CE82A2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9AA8A3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44373B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Application Launch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0786E4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Distribute Android app (.apk) to collectors. Deploy admin web dashboard.</w:t>
            </w:r>
          </w:p>
        </w:tc>
      </w:tr>
      <w:tr w:rsidR="00000000" w14:paraId="4A57B2BA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7660B3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68B794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User Training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5768AF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Conduct training</w:t>
            </w: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 xml:space="preserve"> sessions for admins, collectors, and encoders.</w:t>
            </w:r>
          </w:p>
        </w:tc>
      </w:tr>
      <w:tr w:rsidR="00000000" w14:paraId="2E6D44F3" w14:textId="77777777">
        <w:trPr>
          <w:divId w:val="164989792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706968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20"/>
                <w:szCs w:val="20"/>
              </w:rPr>
              <w:t>Phase 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887A78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Regulatory Reporting Launch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CF3692" w14:textId="77777777" w:rsidR="00000000" w:rsidRDefault="00BF4414">
            <w:pPr>
              <w:spacing w:before="225" w:after="225"/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3748"/>
                <w:sz w:val="20"/>
                <w:szCs w:val="20"/>
              </w:rPr>
              <w:t>Activate automated reports for CDA, CIC, and LandBank integrations.</w:t>
            </w:r>
          </w:p>
        </w:tc>
      </w:tr>
    </w:tbl>
    <w:p w14:paraId="30FAE3D0" w14:textId="77777777" w:rsidR="00000000" w:rsidRDefault="00BF4414">
      <w:pPr>
        <w:divId w:val="966937791"/>
        <w:rPr>
          <w:rFonts w:ascii="Calibri" w:eastAsia="Times New Roman" w:hAnsi="Calibri" w:cs="Calibri"/>
          <w:color w:val="718096"/>
          <w:sz w:val="18"/>
          <w:szCs w:val="18"/>
          <w:lang w:val="en"/>
        </w:rPr>
      </w:pPr>
      <w:r>
        <w:rPr>
          <w:rStyle w:val="Strong"/>
          <w:rFonts w:ascii="Calibri" w:eastAsia="Times New Roman" w:hAnsi="Calibri" w:cs="Calibri"/>
          <w:color w:val="718096"/>
          <w:sz w:val="18"/>
          <w:szCs w:val="18"/>
          <w:lang w:val="en"/>
        </w:rPr>
        <w:t>InfinityFinance proposal</w:t>
      </w:r>
      <w:r>
        <w:rPr>
          <w:rFonts w:ascii="Calibri" w:eastAsia="Times New Roman" w:hAnsi="Calibri" w:cs="Calibri"/>
          <w:color w:val="718096"/>
          <w:sz w:val="18"/>
          <w:szCs w:val="18"/>
          <w:lang w:val="en"/>
        </w:rPr>
        <w:t>. Prepared for the Sidlak Christian Children Fund Savings and Credit Cooperati</w:t>
      </w:r>
      <w:r>
        <w:rPr>
          <w:rFonts w:ascii="Calibri" w:eastAsia="Times New Roman" w:hAnsi="Calibri" w:cs="Calibri"/>
          <w:color w:val="718096"/>
          <w:sz w:val="18"/>
          <w:szCs w:val="18"/>
          <w:lang w:val="en"/>
        </w:rPr>
        <w:t xml:space="preserve">ve. All rights reserved © 2026. </w:t>
      </w:r>
    </w:p>
    <w:sectPr w:rsidR="00000000" w:rsidSect="00BF4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E62F4"/>
    <w:multiLevelType w:val="multilevel"/>
    <w:tmpl w:val="D994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E13CC"/>
    <w:multiLevelType w:val="multilevel"/>
    <w:tmpl w:val="71A4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17DDE"/>
    <w:multiLevelType w:val="multilevel"/>
    <w:tmpl w:val="F0CA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10BE2"/>
    <w:multiLevelType w:val="multilevel"/>
    <w:tmpl w:val="3768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C2E26"/>
    <w:multiLevelType w:val="multilevel"/>
    <w:tmpl w:val="6068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25CCB"/>
    <w:multiLevelType w:val="multilevel"/>
    <w:tmpl w:val="30AE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A65F1"/>
    <w:multiLevelType w:val="multilevel"/>
    <w:tmpl w:val="5708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C159EA"/>
    <w:multiLevelType w:val="multilevel"/>
    <w:tmpl w:val="430E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F4B26"/>
    <w:multiLevelType w:val="multilevel"/>
    <w:tmpl w:val="7778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F4264"/>
    <w:multiLevelType w:val="multilevel"/>
    <w:tmpl w:val="63C6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24F34"/>
    <w:multiLevelType w:val="multilevel"/>
    <w:tmpl w:val="9F06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D2AAC"/>
    <w:multiLevelType w:val="multilevel"/>
    <w:tmpl w:val="6D88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255BF"/>
    <w:multiLevelType w:val="multilevel"/>
    <w:tmpl w:val="7658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67E87"/>
    <w:multiLevelType w:val="multilevel"/>
    <w:tmpl w:val="B798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3"/>
  </w:num>
  <w:num w:numId="4">
    <w:abstractNumId w:val="7"/>
  </w:num>
  <w:num w:numId="5">
    <w:abstractNumId w:val="0"/>
  </w:num>
  <w:num w:numId="6">
    <w:abstractNumId w:val="10"/>
  </w:num>
  <w:num w:numId="7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4"/>
  </w:num>
  <w:num w:numId="9">
    <w:abstractNumId w:val="11"/>
  </w:num>
  <w:num w:numId="10">
    <w:abstractNumId w:val="12"/>
  </w:num>
  <w:num w:numId="11">
    <w:abstractNumId w:val="5"/>
  </w:num>
  <w:num w:numId="12">
    <w:abstractNumId w:val="2"/>
  </w:num>
  <w:num w:numId="13">
    <w:abstractNumId w:val="8"/>
  </w:num>
  <w:num w:numId="14">
    <w:abstractNumId w:val="9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14"/>
    <w:rsid w:val="00BF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E76A10"/>
  <w15:chartTrackingRefBased/>
  <w15:docId w15:val="{D976EB2B-959C-4239-A229-710F1C6D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500" w:after="150"/>
      <w:jc w:val="center"/>
      <w:outlineLvl w:val="0"/>
    </w:pPr>
    <w:rPr>
      <w:b/>
      <w:bCs/>
      <w:color w:val="1E3A8A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1E3A8A"/>
      </w:pBdr>
      <w:spacing w:before="450" w:after="225"/>
      <w:outlineLvl w:val="1"/>
    </w:pPr>
    <w:rPr>
      <w:b/>
      <w:bCs/>
      <w:color w:val="1E3A8A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20"/>
      <w:outlineLvl w:val="2"/>
    </w:pPr>
    <w:rPr>
      <w:b/>
      <w:bCs/>
      <w:color w:val="0D9488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25" w:after="75"/>
      <w:outlineLvl w:val="3"/>
    </w:pPr>
    <w:rPr>
      <w:b/>
      <w:bCs/>
      <w:color w:val="B45309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after="15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50"/>
      <w:jc w:val="both"/>
    </w:pPr>
  </w:style>
  <w:style w:type="paragraph" w:customStyle="1" w:styleId="subtitle">
    <w:name w:val="subtitle"/>
    <w:basedOn w:val="Normal"/>
    <w:pPr>
      <w:spacing w:before="100" w:beforeAutospacing="1" w:after="2250"/>
      <w:jc w:val="center"/>
    </w:pPr>
    <w:rPr>
      <w:i/>
      <w:iCs/>
      <w:color w:val="0D9488"/>
      <w:sz w:val="32"/>
      <w:szCs w:val="32"/>
    </w:rPr>
  </w:style>
  <w:style w:type="paragraph" w:customStyle="1" w:styleId="cover-meta">
    <w:name w:val="cover-meta"/>
    <w:basedOn w:val="Normal"/>
    <w:pPr>
      <w:spacing w:before="2250" w:after="90"/>
      <w:jc w:val="center"/>
    </w:pPr>
    <w:rPr>
      <w:color w:val="4A5568"/>
      <w:sz w:val="22"/>
      <w:szCs w:val="22"/>
    </w:rPr>
  </w:style>
  <w:style w:type="paragraph" w:customStyle="1" w:styleId="page-break">
    <w:name w:val="page-break"/>
    <w:basedOn w:val="Normal"/>
    <w:pPr>
      <w:pageBreakBefore/>
      <w:spacing w:before="100" w:beforeAutospacing="1" w:after="90"/>
    </w:pPr>
  </w:style>
  <w:style w:type="paragraph" w:customStyle="1" w:styleId="amount">
    <w:name w:val="amount"/>
    <w:basedOn w:val="Normal"/>
    <w:pPr>
      <w:spacing w:before="100" w:beforeAutospacing="1" w:after="90"/>
      <w:jc w:val="right"/>
    </w:pPr>
  </w:style>
  <w:style w:type="paragraph" w:customStyle="1" w:styleId="center">
    <w:name w:val="center"/>
    <w:basedOn w:val="Normal"/>
    <w:pPr>
      <w:spacing w:before="100" w:beforeAutospacing="1" w:after="90"/>
      <w:jc w:val="center"/>
    </w:pPr>
  </w:style>
  <w:style w:type="paragraph" w:customStyle="1" w:styleId="highlight">
    <w:name w:val="highlight"/>
    <w:basedOn w:val="Normal"/>
    <w:pPr>
      <w:shd w:val="clear" w:color="auto" w:fill="FEFCBF"/>
      <w:spacing w:before="100" w:beforeAutospacing="1" w:after="90"/>
    </w:pPr>
    <w:rPr>
      <w:b/>
      <w:bCs/>
    </w:rPr>
  </w:style>
  <w:style w:type="paragraph" w:customStyle="1" w:styleId="footer-note">
    <w:name w:val="footer-note"/>
    <w:basedOn w:val="Normal"/>
    <w:pPr>
      <w:pBdr>
        <w:top w:val="single" w:sz="6" w:space="8" w:color="E2E8F0"/>
      </w:pBdr>
      <w:spacing w:before="750" w:after="90"/>
    </w:pPr>
    <w:rPr>
      <w:color w:val="718096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897928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7235">
              <w:marLeft w:val="0"/>
              <w:marRight w:val="0"/>
              <w:marTop w:val="0"/>
              <w:marBottom w:val="22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7794">
              <w:marLeft w:val="0"/>
              <w:marRight w:val="0"/>
              <w:marTop w:val="22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937791">
          <w:marLeft w:val="0"/>
          <w:marRight w:val="0"/>
          <w:marTop w:val="750"/>
          <w:marBottom w:val="0"/>
          <w:divBdr>
            <w:top w:val="single" w:sz="6" w:space="8" w:color="E2E8F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2807</Words>
  <Characters>16005</Characters>
  <Application>Microsoft Office Word</Application>
  <DocSecurity>0</DocSecurity>
  <Lines>133</Lines>
  <Paragraphs>37</Paragraphs>
  <ScaleCrop>false</ScaleCrop>
  <Company/>
  <LinksUpToDate>false</LinksUpToDate>
  <CharactersWithSpaces>18775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InfinityFinance - Comprehensive Cooperative LMS Proposal</dc:title>
  <dc:subject/>
  <dc:creator>Brayan Bautista</dc:creator>
  <cp:keywords/>
  <dc:description/>
  <cp:lastModifiedBy>Brayan Bautista</cp:lastModifiedBy>
  <cp:revision>2</cp:revision>
  <dcterms:created xsi:type="dcterms:W3CDTF">2026-07-08T04:30:00Z</dcterms:created>
  <dcterms:modified xsi:type="dcterms:W3CDTF">2026-07-08T04:30:00Z</dcterms:modified>
</cp:coreProperties>
</file>