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Chee Kai Ming World City Prize 2020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Ecodora Trip Report – Summary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Ecodora, a flourishing city dedicated to sustainability, harnesses renewable energy sources, boasts a recycling rate of 75%, and has implemented an efficient public transportation system that has reduced car usage by 40%.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Verdant parks and green spaces encompass 25% of the city, providing a tranquil oasis for residents.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Ecodora's education system prioritizes environmental stewardship and critical thinking, with 90% of high school graduates pursuing higher education.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actively engages in global collaborations, sharing innovative ideas and supporting sustainable initiatives worldwide.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Residents of Ecodora enjoy an exceptional quality of life, with an impressive 85% satisfaction rating.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 exemplifies how sustainability can create a harmonious and prosperous urban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Key Strategies Adopted: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Eco-Transit Revolution: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prioritized public transportation, investing in a modern metro system called the "Eco-Metro," electric buses branded as "E-Ride," and bike-sharing programs named "Wheel Share."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Eco-Metro: 5 new metro lines constructed, serving over 2 million passengers daily.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E-Ride: 300 electric buses introduced, reducing carbon emissions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Wheel Share: Over 700 bike-sharing stations, with 15,000 bicycles available for 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 Oasis Initiative: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established a comprehensive network of green spaces, including parks, urban gardens, and green roofs, to enhance air quality, foster biodiversity, and offer recreational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"Central Eco Haven": A 75-acre central park featuring hiking trails, playgrounds, and a serene lake.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"Green Canopy Gardens": More than 150 buildings showcase green roofs, totaling 75 acres of rooftop greenery.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"Neighborhood Gardens": 30 neighborhood gardens created, providing gardening plots for residents.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Ecodora, the Energy Champion: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embraced a comprehensive energy-efficient approach, enforcing strict building codes and implementing retrofitting initiatives to reduce energy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"Eco-Harmony 3.0": New building codes mandate the use of energy-efficient appliances and enhanced thermal insulation.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"Retrofit Renaissance": Over 500 existing buildings undergo energy-saving renovations.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"Solar Splendor": Installation of solar panels on more than 1,500 government buildings.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Eco-Living Paradise: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has implemented a holistic waste management system encompassing recycling, composting, and waste-to-biogas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"Recycle with Care": Over 85% of households actively engage in the city's recycling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"Composting Crusaders": 400 community composting bins conveniently located throughout neighborhoods.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"Waste-to-Biogas Facility": An innovative plant transforms organic waste into renewable energy.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Ecodoran Civic Engagement: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Strategy:</w:t>
      </w:r>
      <w:r w:rsidDel="00000000" w:rsidR="00000000" w:rsidRPr="00000000">
        <w:rPr>
          <w:rtl w:val="0"/>
        </w:rPr>
        <w:t xml:space="preserve"> Ecodora actively involves its citizens in decision-making processes and encourages their participation in community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and Concreteness: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"Ecodora Community Forums": Regular public meetings held in each district to gather citizen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"Ecodora Citizen Councils": 15 councils formed to advise on specific policy areas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"My Ecodora Portal": An online platform allows residents to submit ideas, report issues, and track progress of community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 and Governance: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Sustainable Urban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Mayor Emily of Ecodora, a visionary leader, championed the "Eco-Friendly City Plan," which transformed the urban landscape.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 prioritized green infrastructure, integrating parks, green spaces, and tree-lined streets to promote biodiversity, reduce the heat island effect, and enhance air quality.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Moreover, to encourage sustainable modes of transportation, Mayor Emily expanded bike lanes, introduced electric bus routes, and implemented a congestion pricing system, effectively reducing traffic and pollution.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 commitment to eco-friendly urban planning resulted in a healthier and more livable environment for Ecodora's residents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Community-Driven Initiatives: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Ecodora's Mayor, Daniel, recognized the potential of community engagement and launched the "Ecodora Community Fund." This innovative initiative allocated a portion of the city's budget directly to grassroots projects proposed and implemented by residents.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Through the fund, Ecodorans created initiatives such as community gardens, solar panel installations on public buildings, and neighborhood greening projects, empowering citizens to drive positive change and fostering a sense of community ownership.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"Ecodora Community Fund" strengthened the bond between the government and its people, transforming Ecodora into a vibrant and inclusive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Technology-Enabled Governance: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Mayor Sophia of Ecodora embraced technology to streamline public services and enhance transparency.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 implemented the "Ecodora Digital Portal," a comprehensive platform providing citizens with online access to government services such as permit applications, tax payments, and utility bill management.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Additionally, Mayor Sophia established a mobile app that facilitated real-time reporting of service issues, ensuring prompt response from city departments.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integration of technology not only improved efficiency but also increased citizen engagement and trust in local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of Urban Initiatives Implemented: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implementation of urban initiatives in Ecodora has had a profound impact on the city and its residents: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Air Quality:</w:t>
      </w:r>
      <w:r w:rsidDel="00000000" w:rsidR="00000000" w:rsidRPr="00000000">
        <w:rPr>
          <w:rtl w:val="0"/>
        </w:rPr>
        <w:t xml:space="preserve"> Ecodora has made significant strides in improving its air quality.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Since implementing green initiatives, the concentration of harmful air pollutants like PM2.5 has decreased by 20%.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number of days with poor air quality has halved compared to a decade ago, and the city has achieved compliance with national air quality standards for the first time in two decades.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Carbon Emissions:</w:t>
      </w:r>
      <w:r w:rsidDel="00000000" w:rsidR="00000000" w:rsidRPr="00000000">
        <w:rPr>
          <w:rtl w:val="0"/>
        </w:rPr>
        <w:t xml:space="preserve"> Ecodora has also made progress in reducing its carbon emissions.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Greenhouse gas emissions have decreased by 30% since 2010.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energy consumption has decreased by 15%, primarily due to the adoption of energy-efficient technologies and buildings.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 now generates half of its electricity from renewable sources such as solar and wind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Quality of Life:</w:t>
      </w:r>
      <w:r w:rsidDel="00000000" w:rsidR="00000000" w:rsidRPr="00000000">
        <w:rPr>
          <w:rtl w:val="0"/>
        </w:rPr>
        <w:t xml:space="preserve"> Residents of Ecodora enjoy a high quality of life.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study by the city's Department of Urban Planning revealed that residents have a 20% higher life satisfaction rate compared to the national average.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 has been ranked as the "Most Livable City" in the region for the past five consecutive years.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green spaces have increased by 30%, providing residents with more opportunities for recreation and relaxation.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Economic Development:</w:t>
      </w:r>
      <w:r w:rsidDel="00000000" w:rsidR="00000000" w:rsidRPr="00000000">
        <w:rPr>
          <w:rtl w:val="0"/>
        </w:rPr>
        <w:t xml:space="preserve"> Ecodora's sustainability initiatives have also contributed to its economic development.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has attracted over 100 new businesses since launching these initiatives, creating over 5,000 jobs.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city's unemployment rate has decreased by 3% in the past two years.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Ecodora has become a hub for green technology and innovation, attracting investments from both domestic and international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Durability &amp; Sustainability of Transformation: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Ecodora</w:t>
      </w:r>
      <w:r w:rsidDel="00000000" w:rsidR="00000000" w:rsidRPr="00000000">
        <w:rPr>
          <w:rtl w:val="0"/>
        </w:rPr>
        <w:t xml:space="preserve"> has taken proactive measures to ensure the durability and sustainability of its urban initiatives: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Framework</w:t>
      </w:r>
      <w:r w:rsidDel="00000000" w:rsidR="00000000" w:rsidRPr="00000000">
        <w:rPr>
          <w:rtl w:val="0"/>
        </w:rPr>
        <w:t xml:space="preserve">: Ecodora has implemented a comprehensive legal framework that codifies its commitment to sustainability.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legal framework includes laws, regulations, and ordinances that govern all aspects of urban planning, development, and maintenance.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 examples of specific laws and regulations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Building Code: This code mandates the use of sustainable building practices and materials in all new construction and renovations.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Renewable Energy Ordinance: This ordinance requires all new buildings to generate a certain percentage of their energy from renewable sources, such as solar or wind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Zero Waste Plan: This plan outlines the city's goal to achieve zero waste by 2030.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Engagement</w:t>
      </w:r>
      <w:r w:rsidDel="00000000" w:rsidR="00000000" w:rsidRPr="00000000">
        <w:rPr>
          <w:rtl w:val="0"/>
        </w:rPr>
        <w:t xml:space="preserve">: Ecodora has cultivated a strong sense of community involvement in sustainability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is achieved through a variety of programs and activities,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Schools Program: This program educates students about sustainability and encourages them to adopt sustainable practices in their daily lives.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Community Gardens Program: This program provides residents with access to land and resources to grow their own food.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Bike Share Program: This program makes it easy for residents to get around the city without cars.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Sustainability</w:t>
      </w:r>
      <w:r w:rsidDel="00000000" w:rsidR="00000000" w:rsidRPr="00000000">
        <w:rPr>
          <w:rtl w:val="0"/>
        </w:rPr>
        <w:t xml:space="preserve">: Ecodora has established a robust financial framework to support its sustainability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includes a dedicated sustainability fund, which is used to finance a variety of projects and programs.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also has a strong track record of attracting grants from private foundations and government agencies.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Some examples of specific financial mechanisms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Green Revolving Loan Fund: This fund provides loans to businesses and residents for the implementation of sustainable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Carbon Tax: This tax is levied on businesses that emit greenhouse gases.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revenue from this tax is used to fund sustainability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Energy Efficiency Utility: This utility provides energy efficiency services to residents and businesses.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revenue from this utility is used to fund energy efficiency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Creativity &amp; Innovation: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Ecodora has embraced creativity and innovation in implementing its urban initiatives, showcasing a commitment to sustainability and enhancing urban living.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Gardens: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Ecodora has transformed the facades of buildings into vibrant, living canvases by implementing vertical gardens.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These verdant walls not only reduce air pollution but also enhance the visual appeal of the cityscape.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vertical gardens are strategically placed in areas with high foot traffic, such as busy streets and public plazas, to maximize their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diverse range of plant species is carefully selected to create a visually stunning and ecologically diverse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vertical gardens are equipped with automated irrigation systems to ensure optimal plant growth and water conservation.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Solar-Powered Streetlights: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Ecodora has replaced traditional streetlights with solar-powered alternatives, promoting sustainable lighting and reducing energy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solar-powered streetlights are strategically placed along streets, parks, and public areas to provide adequate illumination.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solar panels on the streetlights capture sunlight during the day, converting it into electricity stored in batteries.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stored energy powers the streetlights at night.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Ecodora has partnered with local educational institutions to engage students in designing and installing solar-powered streetlights, fostering a sense of community ownership.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Rainwater Harvesting: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Ecodora has implemented rainwater harvesting systems in public buildings to reduce water usage and promote sustainable water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Rainwater is collected from rooftops and other impervious surfaces through a network of pipes and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harvested rainwater is then stored in underground tanks for later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harvested rainwater is used for non-potable purposes such as irrigation, cleaning, and flushing toilets, reducing the reliance on treated water.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implementing rainwater harvesting systems, Ecodora has demonstrated a commitment to water conservation and environmental sustainability.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Empowering Cycling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Ecodora has introduced a unique initiative that combines human-powered cycling with sustainable energy generation and healthy living.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spaces and parks are equipped with specially designed cycling stations that feature stationary bicycles connected to battery generators.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individuals cycle on these bikes, they generate electricity, which is stored in batteries for later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generated electricity is used to power lights, charging stations, and other amenities in the surrounding area, reducing reliance on traditional energy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By participating in this cycling initiative, individuals contribute to sustainable energy production while also engaging in physical activity, promoting healthier lifestyles.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Ecodora aims to create a vibrant and eco-friendly community where residents can exercise, socialize, and contribute to a cleaner environment simultaneously.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Purpose / Key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The city is committed to sustainability and livability through a holistic approach that encompasses various aspects such as transportation, energy, waste management, and community engagement.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Strong leadership and effective governance are recognized as essential elements for the successful implementation of urban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city believes in the importance of citizen involvement and a culture of sustainability, as they are crucial for the long-term success of urban initiatives.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Additionally, the city acknowledges the potential of creativity and innovation in leading to unique and effective solutions for urban challenges.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 embracing a strong vision and committing to continued progress, the city aims to create a sustainable and livable city that serves as a model for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Prepared by: Liam Patel, Staffing Officer for Ecodora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