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二分法</w:t>
      </w:r>
    </w:p>
    <w:p>
      <w:r>
        <w:drawing>
          <wp:inline distT="0" distB="0" distL="114300" distR="114300">
            <wp:extent cx="5267325" cy="3063240"/>
            <wp:effectExtent l="0" t="0" r="1587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63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优化二分法，只是对于边界情况要小心</w:t>
      </w:r>
    </w:p>
    <w:p/>
    <w:p/>
    <w:p>
      <w:r>
        <w:drawing>
          <wp:inline distT="0" distB="0" distL="114300" distR="114300">
            <wp:extent cx="5269865" cy="2863215"/>
            <wp:effectExtent l="0" t="0" r="1333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63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还是强化二分法，只是[-1，-1]中间一定要有分割符号，否则不是数组</w:t>
      </w:r>
    </w:p>
    <w:p>
      <w:r>
        <w:t>其次特殊情况是数组为空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6F442F5"/>
    <w:rsid w:val="6EF09B85"/>
    <w:rsid w:val="E6F4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2019-02-22T17:46:00Z</dcterms:created>
  <dc:creator>zhangwenfan</dc:creator>
  <cp:lastModifiedBy>zhangwenfan</cp:lastModifiedBy>
  <dcterms:modified xsi:type="dcterms:W3CDTF">2019-03-23T15:03:17Z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