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0"/>
        </w:numPr>
        <w:spacing w:after="160"/>
        <w:tabs>
          <w:tab w:val="left" w:pos="4663" w:leader="none"/>
        </w:tabs>
        <w:rPr>
          <w:rFonts w:ascii="宋体" w:hAnsi="宋体" w:eastAsia="宋体"/>
          <w:b/>
          <w:sz w:val="44"/>
          <w:szCs w:val="44"/>
          <w:position w:val="0"/>
        </w:rPr>
      </w:pPr>
      <w:r>
        <w:rPr>
          <w:rFonts w:ascii="宋体" w:hAnsi="宋体" w:eastAsia="宋体"/>
          <w:b/>
          <w:sz w:val="30"/>
          <w:szCs w:val="30"/>
          <w:position w:val="0"/>
        </w:rPr>
        <w:t xml:space="preserve">       </w:t>
      </w:r>
      <w:r>
        <w:rPr>
          <w:rFonts w:ascii="宋体" w:hAnsi="宋体" w:eastAsia="宋体"/>
          <w:b/>
          <w:sz w:val="44"/>
          <w:szCs w:val="44"/>
          <w:position w:val="0"/>
        </w:rPr>
        <w:t>卢愿战法之 —— 梅开二度</w:t>
      </w:r>
      <w:r>
        <w:rPr>
          <w:rFonts w:ascii="宋体" w:hAnsi="宋体" w:eastAsia="宋体"/>
          <w:b/>
          <w:sz w:val="44"/>
          <w:szCs w:val="44"/>
          <w:position w:val="0"/>
        </w:rPr>
      </w:r>
    </w:p>
    <w:p>
      <w:pPr>
        <w:numPr>
          <w:ilvl w:val="0"/>
          <w:numId w:val="0"/>
        </w:numPr>
        <w:ind w:firstLine="4760"/>
        <w:spacing w:after="160"/>
        <w:rPr>
          <w:rFonts w:ascii="宋体" w:hAnsi="宋体" w:eastAsia="宋体"/>
          <w:sz w:val="28"/>
          <w:szCs w:val="28"/>
          <w:position w:val="0"/>
        </w:rPr>
      </w:pPr>
      <w:r>
        <w:rPr>
          <w:rFonts w:ascii="宋体" w:hAnsi="宋体" w:eastAsia="宋体"/>
          <w:sz w:val="28"/>
          <w:szCs w:val="28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宋体" w:hAnsi="宋体" w:eastAsia="宋体"/>
          <w:b/>
          <w:sz w:val="32"/>
          <w:szCs w:val="32"/>
          <w:shd w:val="clear" w:fill="ffffff"/>
          <w:position w:val="0"/>
        </w:rPr>
      </w:pP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  <w:t>在最近一段时间，大盘开始反弹，政策开始回暖；有许</w:t>
      </w: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  <w:t>多的场外资金也开始进入市场，发动了“利润在冬季”的</w:t>
      </w: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  <w:t>行情。</w:t>
      </w: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宋体" w:hAnsi="宋体" w:eastAsia="宋体"/>
          <w:b/>
          <w:sz w:val="32"/>
          <w:szCs w:val="32"/>
          <w:shd w:val="clear" w:fill="ffffff"/>
          <w:position w:val="0"/>
        </w:rPr>
      </w:pP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  <w:t>正是因为上面的一些外在条件，很多个股出现了绝好的</w:t>
      </w: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  <w:t>短线机会，一买进就大涨，第二天高开高走就卖出，获利</w:t>
      </w: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  <w:t>很快，赚的很多！</w:t>
      </w: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宋体" w:hAnsi="宋体" w:eastAsia="宋体"/>
          <w:b/>
          <w:sz w:val="32"/>
          <w:szCs w:val="32"/>
          <w:shd w:val="clear" w:fill="ffffff"/>
          <w:position w:val="0"/>
        </w:rPr>
      </w:pP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  <w:t>这就是——卢愿的独特战法“梅开二度”</w:t>
      </w: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宋体" w:hAnsi="宋体" w:eastAsia="宋体"/>
          <w:b/>
          <w:sz w:val="32"/>
          <w:szCs w:val="32"/>
          <w:shd w:val="clear" w:fill="ffffff"/>
          <w:position w:val="0"/>
        </w:rPr>
      </w:pP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  <w:t>先看图：一</w:t>
      </w:r>
      <w:r>
        <w:rPr>
          <w:rFonts w:ascii="宋体" w:hAnsi="宋体" w:eastAsia="宋体"/>
          <w:b/>
          <w:sz w:val="32"/>
          <w:szCs w:val="32"/>
          <w:shd w:val="clear" w:fill="ffffff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sz w:val="20"/>
        </w:rPr>
      </w:r>
      <w:r>
        <w:rPr>
          <w:noProof/>
        </w:rPr>
        <w:drawing>
          <wp:inline distT="0" distB="0" distL="0" distR="0">
            <wp:extent cx="4918710" cy="3479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  <a:extLst>
                        <a:ext uri="smNativeData">
                          <sm:smNativeData xmlns:sm="smo" val="SMDATA_12_Lgrd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YAAAAAgAAAAAAAAAAAAAAAAAAAAAAAAAAAAAAAAAAAAAAAAAAAAABCHgAAZxU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Calibri" w:hAnsi="Calibri" w:eastAsia="宋体"/>
          <w:b/>
          <w:sz w:val="32"/>
          <w:szCs w:val="32"/>
          <w:position w:val="0"/>
        </w:rPr>
        <w:t>本周连续四个涨停的002098   MACD 指标在低位金叉之后，</w:t>
      </w:r>
      <w:r>
        <w:rPr>
          <w:rFonts w:ascii="Calibri" w:hAnsi="Calibri" w:eastAsia="宋体"/>
          <w:b/>
          <w:sz w:val="32"/>
          <w:szCs w:val="32"/>
          <w:position w:val="0"/>
        </w:rPr>
        <w:t>红柱增长，在一两天的小阴线后红柱缩短，之后红柱再次</w:t>
      </w:r>
      <w:r>
        <w:rPr>
          <w:rFonts w:ascii="Calibri" w:hAnsi="Calibri" w:eastAsia="宋体"/>
          <w:b/>
          <w:sz w:val="32"/>
          <w:szCs w:val="32"/>
          <w:position w:val="0"/>
        </w:rPr>
        <w:t>放大。</w:t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>实际图二</w:t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sz w:val="20"/>
        </w:rPr>
      </w:r>
      <w:r>
        <w:rPr>
          <w:noProof/>
        </w:rPr>
        <w:drawing>
          <wp:inline distT="0" distB="0" distL="0" distR="0">
            <wp:extent cx="4918710" cy="4072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  <a:extLst>
                        <a:ext uri="smNativeData">
                          <sm:smNativeData xmlns:sm="smo" val="SMDATA_12_Lgrd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gAAAAAgAAAAAAAAAAAAAAAAAAAAAAAAAAAAAAAAAAAAAAAAAAAAABCHgAADhk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407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>300543 朗科智能   这个股票在周四的麦上，我们有关</w:t>
      </w:r>
      <w:r>
        <w:rPr>
          <w:rFonts w:ascii="Calibri" w:hAnsi="Calibri" w:eastAsia="宋体"/>
          <w:b/>
          <w:sz w:val="32"/>
          <w:szCs w:val="32"/>
          <w:position w:val="0"/>
        </w:rPr>
        <w:t>注，有解释，完全符合“二度梅花开，利润自然来”。MACD</w:t>
      </w:r>
      <w:r>
        <w:rPr>
          <w:rFonts w:ascii="Calibri" w:hAnsi="Calibri" w:eastAsia="宋体"/>
          <w:b/>
          <w:sz w:val="32"/>
          <w:szCs w:val="32"/>
          <w:position w:val="0"/>
        </w:rPr>
        <w:t xml:space="preserve"> 指标的1. 低位金叉，2. 红柱放大又缩短  3.不死叉翻身</w:t>
      </w:r>
      <w:r>
        <w:rPr>
          <w:rFonts w:ascii="Calibri" w:hAnsi="Calibri" w:eastAsia="宋体"/>
          <w:b/>
          <w:sz w:val="32"/>
          <w:szCs w:val="32"/>
          <w:position w:val="0"/>
        </w:rPr>
        <w:t xml:space="preserve">向上       </w:t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sz w:val="20"/>
        </w:rPr>
      </w:r>
      <w:r>
        <w:rPr>
          <w:noProof/>
        </w:rPr>
        <w:drawing>
          <wp:inline distT="0" distB="0" distL="0" distR="0">
            <wp:extent cx="4918710" cy="1660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  <a:extLst>
                        <a:ext uri="smNativeData">
                          <sm:smNativeData xmlns:sm="smo" val="SMDATA_12_Lgrd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oAAAAAgAAAAAAAAAAAAAAAAAAAAAAAAAAAAAAAAAAAAAAAAAAAAABCHgAANwo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>在周五的上午完全有买进的机会，在下午一点半之后牢</w:t>
      </w:r>
      <w:r>
        <w:rPr>
          <w:rFonts w:ascii="Calibri" w:hAnsi="Calibri" w:eastAsia="宋体"/>
          <w:b/>
          <w:sz w:val="32"/>
          <w:szCs w:val="32"/>
          <w:position w:val="0"/>
        </w:rPr>
        <w:t>牢的封住涨停板，这就是“梅开二度”的战法，实实在在的有</w:t>
      </w:r>
      <w:r>
        <w:rPr>
          <w:rFonts w:ascii="Calibri" w:hAnsi="Calibri" w:eastAsia="宋体"/>
          <w:b/>
          <w:sz w:val="32"/>
          <w:szCs w:val="32"/>
          <w:position w:val="0"/>
        </w:rPr>
        <w:t>效，在每一个战友看到涨起来之后，还有机会抓住涨停！</w:t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>实际图三</w:t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>这个300308 中际旭创  最具有实际的作战意义</w:t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sz w:val="20"/>
        </w:rPr>
      </w:r>
      <w:r>
        <w:rPr>
          <w:noProof/>
        </w:rPr>
        <w:drawing>
          <wp:inline distT="0" distB="0" distL="0" distR="0">
            <wp:extent cx="4918710" cy="3719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  <a:extLst>
                        <a:ext uri="smNativeData">
                          <sm:smNativeData xmlns:sm="smo" val="SMDATA_12_Lgrd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8AAAAAgAAAAAAAAAAAAAAAAAAAAAAAAAAAAAAAAAAAAAAAAAAAAABCHgAA4hYAAAAAAAAAAAAAAAAA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 xml:space="preserve">MACD 指标走势，非常有代表意义  </w:t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 xml:space="preserve"> 1 处金叉   2 处红柱缩短  3 不死叉，翻身向上</w:t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>还有很多的个股都用的是这个“梅开二度”战法，再次不</w:t>
      </w:r>
      <w:r>
        <w:rPr>
          <w:rFonts w:ascii="Calibri" w:hAnsi="Calibri" w:eastAsia="宋体"/>
          <w:b/>
          <w:sz w:val="32"/>
          <w:szCs w:val="32"/>
          <w:position w:val="0"/>
        </w:rPr>
        <w:t>再一一的举例。通过最近一段时间的研究和论证，这个战</w:t>
      </w:r>
      <w:r>
        <w:rPr>
          <w:rFonts w:ascii="Calibri" w:hAnsi="Calibri" w:eastAsia="宋体"/>
          <w:b/>
          <w:sz w:val="32"/>
          <w:szCs w:val="32"/>
          <w:position w:val="0"/>
        </w:rPr>
        <w:t>法非常有效，实用，当天买，当天赚。也希望每一位战友</w:t>
      </w:r>
      <w:r>
        <w:rPr>
          <w:rFonts w:ascii="Calibri" w:hAnsi="Calibri" w:eastAsia="宋体"/>
          <w:b/>
          <w:sz w:val="32"/>
          <w:szCs w:val="32"/>
          <w:position w:val="0"/>
        </w:rPr>
        <w:t>寻找到这种类型的个股之后，可以马上和卢大帅的助理联</w:t>
      </w:r>
      <w:r>
        <w:rPr>
          <w:rFonts w:ascii="Calibri" w:hAnsi="Calibri" w:eastAsia="宋体"/>
          <w:b/>
          <w:sz w:val="32"/>
          <w:szCs w:val="32"/>
          <w:position w:val="0"/>
        </w:rPr>
        <w:t>系，争取在第一时间做出判断，及时的买进，就可能还继</w:t>
      </w:r>
      <w:r>
        <w:rPr>
          <w:rFonts w:ascii="Calibri" w:hAnsi="Calibri" w:eastAsia="宋体"/>
          <w:b/>
          <w:sz w:val="32"/>
          <w:szCs w:val="32"/>
          <w:position w:val="0"/>
        </w:rPr>
        <w:t>续涨停。</w:t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sz w:val="20"/>
        </w:rPr>
      </w:r>
      <w:r>
        <w:rPr>
          <w:noProof/>
        </w:rPr>
        <w:drawing>
          <wp:inline distT="0" distB="0" distL="0" distR="0">
            <wp:extent cx="4918710" cy="4516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  <a:extLst>
                        <a:ext uri="smNativeData">
                          <sm:smNativeData xmlns:sm="smo" val="SMDATA_12_Lgrd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BMAAAAAgAAAAAAAAAAAAAAAAAAAAAAAAAAAAAAAAAAAAAAAAAAAAABCHgAAyBsAAAAAAAAAAAAAAAA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>希望下周，我们独立营的所有战友，共同努力，并肩作战，抓住一个像300730 科创信息一样的股票，直接三个涨停板！</w:t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 xml:space="preserve">备注： </w:t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>1.   MACD 指标的运用在30分钟  60分钟  日线都可以，周线就不能使用了；</w:t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>2. 出现MACD  的金叉----红柱-----缩短-----再向上的形态很重要，其他的都不重要</w:t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 xml:space="preserve">3.  </w:t>
      </w:r>
      <w:r>
        <w:rPr>
          <w:rFonts w:ascii="Calibri" w:hAnsi="Calibri" w:eastAsia="宋体"/>
          <w:b/>
          <w:color w:val="ff0000"/>
          <w:sz w:val="32"/>
          <w:szCs w:val="32"/>
          <w:position w:val="0"/>
        </w:rPr>
        <w:t xml:space="preserve">开  </w:t>
      </w:r>
      <w:r>
        <w:rPr>
          <w:rFonts w:ascii="Calibri" w:hAnsi="Calibri" w:eastAsia="宋体"/>
          <w:b/>
          <w:sz w:val="32"/>
          <w:szCs w:val="32"/>
          <w:position w:val="0"/>
        </w:rPr>
        <w:t>这个字就是再次打开，再次向上，再次开放，象征着花开。前面的几天小阴小阳线，是在调整，是在震荡，是在洗盘，是在酝酿大行情！</w:t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position w:val="0"/>
        </w:rPr>
      </w:pPr>
      <w:r>
        <w:rPr>
          <w:rFonts w:ascii="Calibri" w:hAnsi="Calibri" w:eastAsia="宋体"/>
          <w:b/>
          <w:sz w:val="32"/>
          <w:szCs w:val="32"/>
          <w:position w:val="0"/>
        </w:rPr>
        <w:t>“二度梅花开，利润自然来”！</w:t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/>
          <w:b/>
          <w:sz w:val="32"/>
          <w:szCs w:val="32"/>
          <w:u w:color="auto" w:val="single"/>
          <w:position w:val="0"/>
        </w:rPr>
      </w:pPr>
      <w:r>
        <w:rPr>
          <w:rFonts w:ascii="Calibri" w:hAnsi="Calibri" w:eastAsia="宋体"/>
          <w:b/>
          <w:sz w:val="32"/>
          <w:szCs w:val="32"/>
          <w:u w:color="auto" w:val="single"/>
          <w:position w:val="0"/>
        </w:rPr>
        <w:t>所以战友们要重点关注周五买进的那个股票！</w:t>
      </w:r>
    </w:p>
    <w:p>
      <w:pPr>
        <w:numPr>
          <w:ilvl w:val="0"/>
          <w:numId w:val="0"/>
        </w:numPr>
        <w:ind w:firstLine="560"/>
        <w:spacing w:after="160"/>
        <w:rPr>
          <w:rFonts w:ascii="Calibri" w:hAnsi="Calibri" w:eastAsia="宋体" w:hint="eastAsia"/>
          <w:b/>
          <w:sz w:val="32"/>
          <w:szCs w:val="32"/>
          <w:u w:color="auto" w:val="single"/>
          <w:position w:val="0"/>
        </w:rPr>
      </w:pPr>
      <w:r>
        <w:rPr>
          <w:rFonts w:ascii="Calibri" w:hAnsi="Calibri" w:eastAsia="宋体" w:hint="eastAsia"/>
          <w:b/>
          <w:sz w:val="32"/>
          <w:szCs w:val="32"/>
          <w:u w:color="auto" w:val="single"/>
          <w:position w:val="0"/>
        </w:rPr>
        <w:t>最后，卢愿大帅的战法文档不能外传！ 协同作战买进的股票不能外传！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宋体">
    <w:panose1 w:val="02010600030101010101"/>
    <w:charset w:val="00"/>
    <w:family w:val="auto"/>
    <w:pitch w:val="default"/>
  </w:font>
  <w:font w:name="Calibri">
    <w:panose1 w:val="020F0502020204030204"/>
    <w:charset w:val="00"/>
    <w:family w:val="auto"/>
    <w:pitch w:val="default"/>
  </w:font>
  <w:font w:name="Wingdings">
    <w:panose1 w:val="020B0604020202020204"/>
    <w:charset w:val="00"/>
    <w:family w:val="auto"/>
    <w:pitch w:val="default"/>
  </w:font>
  <w:font w:name="맑은 고딕">
    <w:panose1 w:val="020B05030200000200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80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28"/>
      <w:tmLastPosIdx w:val="32"/>
    </w:tmLastPosCaret>
    <w:tmLastPosAnchor>
      <w:tmLastPosPgfIdx w:val="0"/>
      <w:tmLastPosIdx w:val="0"/>
    </w:tmLastPosAnchor>
    <w:tmLastPosTblRect w:left="0" w:top="0" w:right="0" w:bottom="0"/>
    <w:tmAppRevision w:date="1541212718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1"/>
        <w:szCs w:val="21"/>
        <w:lang w:val="en-us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No Spacing"/>
    <w:qFormat/>
  </w:style>
  <w:style w:type="paragraph" w:styleId="">
    <w:name w:val="Title"/>
    <w:qFormat/>
    <w:pPr>
      <w:spacing/>
      <w:jc w:val="center"/>
    </w:pPr>
    <w:rPr>
      <w:b/>
      <w:sz w:val="32"/>
      <w:szCs w:val="32"/>
    </w:rPr>
  </w:style>
  <w:style w:type="paragraph" w:styleId="1">
    <w:name w:val="heading 1"/>
    <w:qFormat/>
    <w:next w:val=""/>
    <w:rPr>
      <w:sz w:val="28"/>
      <w:szCs w:val="28"/>
    </w:rPr>
  </w:style>
  <w:style w:type="paragraph" w:styleId="2">
    <w:name w:val="heading 2"/>
    <w:qFormat/>
    <w:next w:val=""/>
  </w:style>
  <w:style w:type="paragraph" w:styleId="3">
    <w:name w:val="heading 3"/>
    <w:qFormat/>
    <w:next w:val=""/>
    <w:pPr>
      <w:ind w:left="1000" w:hanging="400"/>
    </w:pPr>
  </w:style>
  <w:style w:type="paragraph" w:styleId="4">
    <w:name w:val="heading 4"/>
    <w:qFormat/>
    <w:next w:val=""/>
    <w:pPr>
      <w:ind w:left="1200" w:hanging="400"/>
    </w:pPr>
    <w:rPr>
      <w:b/>
    </w:rPr>
  </w:style>
  <w:style w:type="paragraph" w:styleId="5">
    <w:name w:val="heading 5"/>
    <w:qFormat/>
    <w:next w:val=""/>
    <w:pPr>
      <w:ind w:left="1400" w:hanging="400"/>
    </w:pPr>
  </w:style>
  <w:style w:type="paragraph" w:styleId="6">
    <w:name w:val="heading 6"/>
    <w:qFormat/>
    <w:next w:val=""/>
    <w:pPr>
      <w:ind w:left="1600" w:hanging="400"/>
    </w:pPr>
    <w:rPr>
      <w:b/>
    </w:rPr>
  </w:style>
  <w:style w:type="paragraph" w:styleId="7">
    <w:name w:val="heading 7"/>
    <w:qFormat/>
    <w:next w:val=""/>
    <w:pPr>
      <w:ind w:left="1800" w:hanging="400"/>
    </w:pPr>
  </w:style>
  <w:style w:type="paragraph" w:styleId="8">
    <w:name w:val="heading 8"/>
    <w:qFormat/>
    <w:next w:val=""/>
    <w:pPr>
      <w:ind w:left="2000" w:hanging="400"/>
    </w:pPr>
  </w:style>
  <w:style w:type="paragraph" w:styleId="9">
    <w:name w:val="heading 9"/>
    <w:qFormat/>
    <w:next w:val=""/>
    <w:pPr>
      <w:ind w:left="2200" w:hanging="400"/>
    </w:pPr>
  </w:style>
  <w:style w:type="paragraph" w:styleId="">
    <w:name w:val="Subtitle"/>
    <w:qFormat/>
    <w:pPr>
      <w:spacing/>
      <w:jc w:val="center"/>
    </w:pPr>
    <w:rPr>
      <w:sz w:val="24"/>
      <w:szCs w:val="24"/>
    </w:rPr>
  </w:style>
  <w:style w:type="paragraph" w:styleId="">
    <w:name w:val="Quote"/>
    <w:qFormat/>
    <w:pPr>
      <w:ind w:left="864" w:right="864"/>
      <w:spacing/>
      <w:jc w:val="center"/>
    </w:pPr>
    <w:rPr>
      <w:i/>
      <w:color w:val="404040"/>
    </w:rPr>
  </w:style>
  <w:style w:type="paragraph" w:styleId="">
    <w:name w:val="Intense Quote"/>
    <w:qFormat/>
    <w:pPr>
      <w:ind w:left="950" w:right="950"/>
      <w:spacing/>
      <w:jc w:val="center"/>
    </w:pPr>
    <w:rPr>
      <w:i/>
      <w:color w:val="5b9bd5"/>
    </w:rPr>
  </w:style>
  <w:style w:type="paragraph" w:styleId="">
    <w:name w:val="List Paragraph"/>
    <w:qFormat/>
    <w:pPr>
      <w:ind w:left="850"/>
    </w:pPr>
  </w:style>
  <w:style w:type="paragraph" w:styleId="TOC">
    <w:name w:val="TOC Heading"/>
    <w:qFormat/>
    <w:pPr>
      <w:spacing/>
      <w:jc w:val="left"/>
    </w:pPr>
    <w:rPr>
      <w:color w:val="2e74b5"/>
      <w:sz w:val="32"/>
      <w:szCs w:val="32"/>
    </w:rPr>
  </w:style>
  <w:style w:type="paragraph" w:styleId="1">
    <w:name w:val="toc 1"/>
    <w:qFormat/>
    <w:next w:val=""/>
  </w:style>
  <w:style w:type="paragraph" w:styleId="2">
    <w:name w:val="toc 2"/>
    <w:qFormat/>
    <w:next w:val=""/>
    <w:pPr>
      <w:ind w:left="425"/>
    </w:pPr>
  </w:style>
  <w:style w:type="paragraph" w:styleId="3">
    <w:name w:val="toc 3"/>
    <w:qFormat/>
    <w:next w:val=""/>
    <w:pPr>
      <w:ind w:left="850"/>
    </w:pPr>
  </w:style>
  <w:style w:type="paragraph" w:styleId="4">
    <w:name w:val="toc 4"/>
    <w:qFormat/>
    <w:next w:val=""/>
    <w:pPr>
      <w:ind w:left="1275"/>
    </w:pPr>
  </w:style>
  <w:style w:type="paragraph" w:styleId="5">
    <w:name w:val="toc 5"/>
    <w:qFormat/>
    <w:next w:val=""/>
    <w:pPr>
      <w:ind w:left="1700"/>
    </w:pPr>
  </w:style>
  <w:style w:type="paragraph" w:styleId="6">
    <w:name w:val="toc 6"/>
    <w:qFormat/>
    <w:next w:val=""/>
    <w:pPr>
      <w:ind w:left="2125"/>
    </w:pPr>
  </w:style>
  <w:style w:type="paragraph" w:styleId="7">
    <w:name w:val="toc 7"/>
    <w:qFormat/>
    <w:next w:val=""/>
    <w:pPr>
      <w:ind w:left="2550"/>
    </w:pPr>
  </w:style>
  <w:style w:type="paragraph" w:styleId="8">
    <w:name w:val="toc 8"/>
    <w:qFormat/>
    <w:next w:val=""/>
    <w:pPr>
      <w:ind w:left="2975"/>
    </w:pPr>
  </w:style>
  <w:style w:type="paragraph" w:styleId="9">
    <w:name w:val="toc 9"/>
    <w:qFormat/>
    <w:next w:val=""/>
    <w:pPr>
      <w:ind w:left="3400"/>
    </w:pPr>
  </w:style>
  <w:style w:type="paragraph" w:styleId="TOC1" w:customStyle="1">
    <w:name w:val="TOC 标题1"/>
    <w:qFormat/>
    <w:rPr>
      <w:color w:val="2e74b5"/>
      <w:sz w:val="32"/>
      <w:szCs w:val="32"/>
    </w:rPr>
  </w:style>
  <w:style w:type="character" w:styleId="" w:default="1">
    <w:name w:val="Default Paragraph Font"/>
    <w:rPr>
      <w:sz w:val="20"/>
      <w:szCs w:val="20"/>
    </w:rPr>
  </w:style>
  <w:style w:type="character" w:styleId="">
    <w:name w:val="Subtle Emphasis"/>
    <w:rPr>
      <w:i/>
      <w:color w:val="404040"/>
    </w:rPr>
  </w:style>
  <w:style w:type="character" w:styleId="">
    <w:name w:val="Emphasis"/>
    <w:rPr>
      <w:i/>
    </w:rPr>
  </w:style>
  <w:style w:type="character" w:styleId="">
    <w:name w:val="Intense Emphasis"/>
    <w:rPr>
      <w:i/>
      <w:color w:val="5b9bd5"/>
    </w:rPr>
  </w:style>
  <w:style w:type="character" w:styleId="">
    <w:name w:val="Strong"/>
    <w:rPr>
      <w:b/>
    </w:rPr>
  </w:style>
  <w:style w:type="character" w:styleId="">
    <w:name w:val="Subtle Reference"/>
    <w:rPr>
      <w:smallCaps/>
      <w:color w:val="5a5a5a"/>
    </w:rPr>
  </w:style>
  <w:style w:type="character" w:styleId="">
    <w:name w:val="Intense Reference"/>
    <w:rPr>
      <w:b/>
      <w:smallCaps/>
      <w:color w:val="5b9bd5"/>
    </w:rPr>
  </w:style>
  <w:style w:type="character" w:styleId="">
    <w:name w:val="Book Title"/>
    <w:rPr>
      <w:b/>
      <w:i/>
    </w:rPr>
  </w:style>
  <w:style w:type="character" w:styleId="1" w:customStyle="1">
    <w:name w:val="不明显强调1"/>
    <w:rPr>
      <w:i/>
      <w:color w:val="404040"/>
    </w:rPr>
  </w:style>
  <w:style w:type="character" w:styleId="1" w:customStyle="1">
    <w:name w:val="明显强调1"/>
    <w:rPr>
      <w:i/>
      <w:color w:val="5b9bd5"/>
    </w:rPr>
  </w:style>
  <w:style w:type="character" w:styleId="1" w:customStyle="1">
    <w:name w:val="不明显参考1"/>
    <w:rPr>
      <w:smallCaps/>
      <w:color w:val="5a5a5a"/>
    </w:rPr>
  </w:style>
  <w:style w:type="character" w:styleId="1" w:customStyle="1">
    <w:name w:val="明显参考1"/>
    <w:rPr>
      <w:b/>
      <w:smallCaps/>
      <w:color w:val="5b9bd5"/>
    </w:rPr>
  </w:style>
  <w:style w:type="character" w:styleId="1" w:customStyle="1">
    <w:name w:val="书籍标题1"/>
    <w:rPr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imes New Roman" w:hAnsi="Times New Roman" w:eastAsia="Times New Roman" w:cs="Times New Roman"/>
        <w:sz w:val="21"/>
        <w:szCs w:val="21"/>
        <w:lang w:val="en-us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No Spacing"/>
    <w:qFormat/>
  </w:style>
  <w:style w:type="paragraph" w:styleId="">
    <w:name w:val="Title"/>
    <w:qFormat/>
    <w:pPr>
      <w:spacing/>
      <w:jc w:val="center"/>
    </w:pPr>
    <w:rPr>
      <w:b/>
      <w:sz w:val="32"/>
      <w:szCs w:val="32"/>
    </w:rPr>
  </w:style>
  <w:style w:type="paragraph" w:styleId="1">
    <w:name w:val="heading 1"/>
    <w:qFormat/>
    <w:next w:val=""/>
    <w:rPr>
      <w:sz w:val="28"/>
      <w:szCs w:val="28"/>
    </w:rPr>
  </w:style>
  <w:style w:type="paragraph" w:styleId="2">
    <w:name w:val="heading 2"/>
    <w:qFormat/>
    <w:next w:val=""/>
  </w:style>
  <w:style w:type="paragraph" w:styleId="3">
    <w:name w:val="heading 3"/>
    <w:qFormat/>
    <w:next w:val=""/>
    <w:pPr>
      <w:ind w:left="1000" w:hanging="400"/>
    </w:pPr>
  </w:style>
  <w:style w:type="paragraph" w:styleId="4">
    <w:name w:val="heading 4"/>
    <w:qFormat/>
    <w:next w:val=""/>
    <w:pPr>
      <w:ind w:left="1200" w:hanging="400"/>
    </w:pPr>
    <w:rPr>
      <w:b/>
    </w:rPr>
  </w:style>
  <w:style w:type="paragraph" w:styleId="5">
    <w:name w:val="heading 5"/>
    <w:qFormat/>
    <w:next w:val=""/>
    <w:pPr>
      <w:ind w:left="1400" w:hanging="400"/>
    </w:pPr>
  </w:style>
  <w:style w:type="paragraph" w:styleId="6">
    <w:name w:val="heading 6"/>
    <w:qFormat/>
    <w:next w:val=""/>
    <w:pPr>
      <w:ind w:left="1600" w:hanging="400"/>
    </w:pPr>
    <w:rPr>
      <w:b/>
    </w:rPr>
  </w:style>
  <w:style w:type="paragraph" w:styleId="7">
    <w:name w:val="heading 7"/>
    <w:qFormat/>
    <w:next w:val=""/>
    <w:pPr>
      <w:ind w:left="1800" w:hanging="400"/>
    </w:pPr>
  </w:style>
  <w:style w:type="paragraph" w:styleId="8">
    <w:name w:val="heading 8"/>
    <w:qFormat/>
    <w:next w:val=""/>
    <w:pPr>
      <w:ind w:left="2000" w:hanging="400"/>
    </w:pPr>
  </w:style>
  <w:style w:type="paragraph" w:styleId="9">
    <w:name w:val="heading 9"/>
    <w:qFormat/>
    <w:next w:val=""/>
    <w:pPr>
      <w:ind w:left="2200" w:hanging="400"/>
    </w:pPr>
  </w:style>
  <w:style w:type="paragraph" w:styleId="">
    <w:name w:val="Subtitle"/>
    <w:qFormat/>
    <w:pPr>
      <w:spacing/>
      <w:jc w:val="center"/>
    </w:pPr>
    <w:rPr>
      <w:sz w:val="24"/>
      <w:szCs w:val="24"/>
    </w:rPr>
  </w:style>
  <w:style w:type="paragraph" w:styleId="">
    <w:name w:val="Quote"/>
    <w:qFormat/>
    <w:pPr>
      <w:ind w:left="864" w:right="864"/>
      <w:spacing/>
      <w:jc w:val="center"/>
    </w:pPr>
    <w:rPr>
      <w:i/>
      <w:color w:val="404040"/>
    </w:rPr>
  </w:style>
  <w:style w:type="paragraph" w:styleId="">
    <w:name w:val="Intense Quote"/>
    <w:qFormat/>
    <w:pPr>
      <w:ind w:left="950" w:right="950"/>
      <w:spacing/>
      <w:jc w:val="center"/>
    </w:pPr>
    <w:rPr>
      <w:i/>
      <w:color w:val="5b9bd5"/>
    </w:rPr>
  </w:style>
  <w:style w:type="paragraph" w:styleId="">
    <w:name w:val="List Paragraph"/>
    <w:qFormat/>
    <w:pPr>
      <w:ind w:left="850"/>
    </w:pPr>
  </w:style>
  <w:style w:type="paragraph" w:styleId="TOC">
    <w:name w:val="TOC Heading"/>
    <w:qFormat/>
    <w:pPr>
      <w:spacing/>
      <w:jc w:val="left"/>
    </w:pPr>
    <w:rPr>
      <w:color w:val="2e74b5"/>
      <w:sz w:val="32"/>
      <w:szCs w:val="32"/>
    </w:rPr>
  </w:style>
  <w:style w:type="paragraph" w:styleId="1">
    <w:name w:val="toc 1"/>
    <w:qFormat/>
    <w:next w:val=""/>
  </w:style>
  <w:style w:type="paragraph" w:styleId="2">
    <w:name w:val="toc 2"/>
    <w:qFormat/>
    <w:next w:val=""/>
    <w:pPr>
      <w:ind w:left="425"/>
    </w:pPr>
  </w:style>
  <w:style w:type="paragraph" w:styleId="3">
    <w:name w:val="toc 3"/>
    <w:qFormat/>
    <w:next w:val=""/>
    <w:pPr>
      <w:ind w:left="850"/>
    </w:pPr>
  </w:style>
  <w:style w:type="paragraph" w:styleId="4">
    <w:name w:val="toc 4"/>
    <w:qFormat/>
    <w:next w:val=""/>
    <w:pPr>
      <w:ind w:left="1275"/>
    </w:pPr>
  </w:style>
  <w:style w:type="paragraph" w:styleId="5">
    <w:name w:val="toc 5"/>
    <w:qFormat/>
    <w:next w:val=""/>
    <w:pPr>
      <w:ind w:left="1700"/>
    </w:pPr>
  </w:style>
  <w:style w:type="paragraph" w:styleId="6">
    <w:name w:val="toc 6"/>
    <w:qFormat/>
    <w:next w:val=""/>
    <w:pPr>
      <w:ind w:left="2125"/>
    </w:pPr>
  </w:style>
  <w:style w:type="paragraph" w:styleId="7">
    <w:name w:val="toc 7"/>
    <w:qFormat/>
    <w:next w:val=""/>
    <w:pPr>
      <w:ind w:left="2550"/>
    </w:pPr>
  </w:style>
  <w:style w:type="paragraph" w:styleId="8">
    <w:name w:val="toc 8"/>
    <w:qFormat/>
    <w:next w:val=""/>
    <w:pPr>
      <w:ind w:left="2975"/>
    </w:pPr>
  </w:style>
  <w:style w:type="paragraph" w:styleId="9">
    <w:name w:val="toc 9"/>
    <w:qFormat/>
    <w:next w:val=""/>
    <w:pPr>
      <w:ind w:left="3400"/>
    </w:pPr>
  </w:style>
  <w:style w:type="paragraph" w:styleId="TOC1" w:customStyle="1">
    <w:name w:val="TOC 标题1"/>
    <w:qFormat/>
    <w:rPr>
      <w:color w:val="2e74b5"/>
      <w:sz w:val="32"/>
      <w:szCs w:val="32"/>
    </w:rPr>
  </w:style>
  <w:style w:type="character" w:styleId="" w:default="1">
    <w:name w:val="Default Paragraph Font"/>
    <w:rPr>
      <w:sz w:val="20"/>
      <w:szCs w:val="20"/>
    </w:rPr>
  </w:style>
  <w:style w:type="character" w:styleId="">
    <w:name w:val="Subtle Emphasis"/>
    <w:rPr>
      <w:i/>
      <w:color w:val="404040"/>
    </w:rPr>
  </w:style>
  <w:style w:type="character" w:styleId="">
    <w:name w:val="Emphasis"/>
    <w:rPr>
      <w:i/>
    </w:rPr>
  </w:style>
  <w:style w:type="character" w:styleId="">
    <w:name w:val="Intense Emphasis"/>
    <w:rPr>
      <w:i/>
      <w:color w:val="5b9bd5"/>
    </w:rPr>
  </w:style>
  <w:style w:type="character" w:styleId="">
    <w:name w:val="Strong"/>
    <w:rPr>
      <w:b/>
    </w:rPr>
  </w:style>
  <w:style w:type="character" w:styleId="">
    <w:name w:val="Subtle Reference"/>
    <w:rPr>
      <w:smallCaps/>
      <w:color w:val="5a5a5a"/>
    </w:rPr>
  </w:style>
  <w:style w:type="character" w:styleId="">
    <w:name w:val="Intense Reference"/>
    <w:rPr>
      <w:b/>
      <w:smallCaps/>
      <w:color w:val="5b9bd5"/>
    </w:rPr>
  </w:style>
  <w:style w:type="character" w:styleId="">
    <w:name w:val="Book Title"/>
    <w:rPr>
      <w:b/>
      <w:i/>
    </w:rPr>
  </w:style>
  <w:style w:type="character" w:styleId="1" w:customStyle="1">
    <w:name w:val="不明显强调1"/>
    <w:rPr>
      <w:i/>
      <w:color w:val="404040"/>
    </w:rPr>
  </w:style>
  <w:style w:type="character" w:styleId="1" w:customStyle="1">
    <w:name w:val="明显强调1"/>
    <w:rPr>
      <w:i/>
      <w:color w:val="5b9bd5"/>
    </w:rPr>
  </w:style>
  <w:style w:type="character" w:styleId="1" w:customStyle="1">
    <w:name w:val="不明显参考1"/>
    <w:rPr>
      <w:smallCaps/>
      <w:color w:val="5a5a5a"/>
    </w:rPr>
  </w:style>
  <w:style w:type="character" w:styleId="1" w:customStyle="1">
    <w:name w:val="明显参考1"/>
    <w:rPr>
      <w:b/>
      <w:smallCaps/>
      <w:color w:val="5b9bd5"/>
    </w:rPr>
  </w:style>
  <w:style w:type="character" w:styleId="1" w:customStyle="1">
    <w:name w:val="书籍标题1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/>
  <cp:revision>4</cp:revision>
  <dcterms:created xsi:type="dcterms:W3CDTF">2018-11-03T10:37:13Z</dcterms:created>
  <dcterms:modified xsi:type="dcterms:W3CDTF">2018-11-03T10:38:38Z</dcterms:modified>
</cp:coreProperties>
</file>