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sz w:val="44"/>
          <w:szCs w:val="44"/>
          <w:lang w:val="en-US" w:eastAsia="zh-CN"/>
        </w:rPr>
        <w:t xml:space="preserve">   百步飞剑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该档个股必须在前期经历了很长一段时间的下跌，一般来说在三个月以上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如果该档个股在近期行情当中快速拉升，放量突破布林带中轨，阳线越大越好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在启动上涨的时候往往会有下跌调整以来的最低点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当该股的布林带中轨有向上的趋势的时候开始介入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9495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6451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EE4BD"/>
    <w:multiLevelType w:val="singleLevel"/>
    <w:tmpl w:val="613EE4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B13E8"/>
    <w:rsid w:val="0756215C"/>
    <w:rsid w:val="2A1B13E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823;&#36194;&#23478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2019-03-27T11:41:00Z</dcterms:created>
  <dc:creator>大赢家</dc:creator>
  <cp:lastModifiedBy>大赢家</cp:lastModifiedBy>
  <dcterms:modified xsi:type="dcterms:W3CDTF">2019-03-29T11:19:38Z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