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  <w:sz w:val="44"/>
          <w:szCs w:val="44"/>
          <w:lang w:val="en-US" w:eastAsia="zh-CN"/>
        </w:rPr>
        <w:t>缺口理论的运用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形成缺口的原因：多空双方的力量发生重大改变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第一缺口：（假设只有一个缺口）</w:t>
      </w:r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形成缺口的当天必须是阳线柱体</w:t>
      </w:r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形成缺口之后如果3-5个交易日不回补缺口</w:t>
      </w:r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形成缺口当天必须出现放量</w:t>
      </w:r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刚刚启动上涨或者说是在底部突然形成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往往我们只追求5-8个点的利润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66690" cy="277939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第二个缺口：（中续缺口）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出现的原因：主力想要快速拉升获取更大的利润空间，该股很可能会成为一档妖股，如果是连续一字板的涨停跳空，出现4个及4个以上暂时不介入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这种个股一般来说后市上涨幅度较大，只要确认不回补即可以买入，如果回补了第二个缺口，止损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64785" cy="2254885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5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第三个缺口：（衰竭性缺口）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出现这种情况要密切关注，如果该股以涨停板的方式继续拉高，持有，只要不封板先出局或减仓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3675" cy="2620010"/>
            <wp:effectExtent l="0" t="0" r="146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ABE61F"/>
    <w:multiLevelType w:val="singleLevel"/>
    <w:tmpl w:val="BFABE6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4291E"/>
    <w:rsid w:val="0AAC1593"/>
    <w:rsid w:val="2834291E"/>
    <w:rsid w:val="6C4C10C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2823;&#36194;&#23478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2019-03-20T11:42:00Z</dcterms:created>
  <dc:creator>大赢家</dc:creator>
  <cp:lastModifiedBy>大赢家</cp:lastModifiedBy>
  <dcterms:modified xsi:type="dcterms:W3CDTF">2019-03-22T09:49:24Z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