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jc w:val="center"/>
        <w:rPr>
          <w:rFonts w:hint="eastAsia"/>
          <w:b/>
          <w:bCs/>
          <w:color w:val="FFFFFF" w:themeColor="background1"/>
          <w:sz w:val="56"/>
          <w:szCs w:val="56"/>
          <w:highlight w:val="red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b/>
          <w:bCs/>
          <w:color w:val="FFFFFF" w:themeColor="background1"/>
          <w:sz w:val="56"/>
          <w:szCs w:val="56"/>
          <w:highlight w:val="red"/>
          <w:lang w:eastAsia="zh-CN"/>
          <w14:textFill>
            <w14:solidFill>
              <w14:schemeClr w14:val="bg1"/>
            </w14:solidFill>
          </w14:textFill>
        </w:rPr>
        <w:t>黄老师【猎庄狙击选股器】</w:t>
      </w:r>
    </w:p>
    <w:p>
      <w:pPr>
        <w:jc w:val="center"/>
        <w:rPr>
          <w:rFonts w:hint="eastAsia"/>
          <w:b/>
          <w:bCs/>
          <w:color w:val="FFFFFF" w:themeColor="background1"/>
          <w:sz w:val="48"/>
          <w:szCs w:val="48"/>
          <w:highlight w:val="red"/>
          <w:lang w:eastAsia="zh-CN"/>
          <w14:textFill>
            <w14:solidFill>
              <w14:schemeClr w14:val="bg1"/>
            </w14:solidFill>
          </w14:textFill>
        </w:rPr>
      </w:pPr>
    </w:p>
    <w:p>
      <w:pPr>
        <w:rPr>
          <w:rFonts w:hint="eastAsia"/>
          <w:b/>
          <w:bCs/>
          <w:color w:val="FF0000"/>
          <w:sz w:val="48"/>
          <w:szCs w:val="48"/>
          <w:lang w:eastAsia="zh-CN"/>
        </w:rPr>
      </w:pPr>
      <w:r>
        <w:rPr>
          <w:rFonts w:hint="eastAsia"/>
          <w:b/>
          <w:bCs/>
          <w:color w:val="FF0000"/>
          <w:sz w:val="48"/>
          <w:szCs w:val="48"/>
          <w:lang w:val="en-US" w:eastAsia="zh-CN"/>
        </w:rPr>
        <w:t>1、</w:t>
      </w:r>
      <w:r>
        <w:rPr>
          <w:rFonts w:hint="eastAsia"/>
          <w:b/>
          <w:bCs/>
          <w:color w:val="FF0000"/>
          <w:sz w:val="48"/>
          <w:szCs w:val="48"/>
          <w:lang w:eastAsia="zh-CN"/>
        </w:rPr>
        <w:t>流程：</w:t>
      </w:r>
      <w:r>
        <w:rPr>
          <w:rFonts w:hint="eastAsia"/>
          <w:b/>
          <w:bCs/>
          <w:color w:val="0000FF"/>
          <w:sz w:val="48"/>
          <w:szCs w:val="48"/>
          <w:lang w:eastAsia="zh-CN"/>
        </w:rPr>
        <w:t>功能——选股器——综合选股</w:t>
      </w:r>
    </w:p>
    <w:p>
      <w:pPr>
        <w:rPr>
          <w:rFonts w:hint="eastAsia"/>
          <w:b/>
          <w:bCs/>
          <w:color w:val="FF0000"/>
          <w:sz w:val="48"/>
          <w:szCs w:val="48"/>
          <w:lang w:val="en-US" w:eastAsia="zh-CN"/>
        </w:rPr>
      </w:pPr>
    </w:p>
    <w:p>
      <w:pPr>
        <w:rPr>
          <w:rFonts w:hint="eastAsia"/>
          <w:b/>
          <w:bCs/>
          <w:color w:val="FF0000"/>
          <w:sz w:val="48"/>
          <w:szCs w:val="48"/>
          <w:lang w:eastAsia="zh-CN"/>
        </w:rPr>
      </w:pPr>
      <w:r>
        <w:rPr>
          <w:rFonts w:hint="eastAsia"/>
          <w:b/>
          <w:bCs/>
          <w:color w:val="FF0000"/>
          <w:sz w:val="48"/>
          <w:szCs w:val="48"/>
          <w:lang w:val="en-US" w:eastAsia="zh-CN"/>
        </w:rPr>
        <w:t>2、</w:t>
      </w:r>
      <w:r>
        <w:rPr>
          <w:rFonts w:hint="eastAsia"/>
          <w:b/>
          <w:bCs/>
          <w:color w:val="FF0000"/>
          <w:sz w:val="48"/>
          <w:szCs w:val="48"/>
          <w:lang w:eastAsia="zh-CN"/>
        </w:rPr>
        <w:t>选股条件设置：</w:t>
      </w:r>
    </w:p>
    <w:p>
      <w:pPr>
        <w:rPr>
          <w:rFonts w:hint="eastAsia"/>
          <w:b/>
          <w:bCs/>
          <w:color w:val="FF0000"/>
          <w:sz w:val="48"/>
          <w:szCs w:val="48"/>
          <w:lang w:eastAsia="zh-CN"/>
        </w:rPr>
      </w:pPr>
      <w:r>
        <w:rPr>
          <w:rFonts w:hint="eastAsia"/>
          <w:b/>
          <w:bCs/>
          <w:color w:val="FF0000"/>
          <w:sz w:val="48"/>
          <w:szCs w:val="48"/>
          <w:lang w:val="en-US" w:eastAsia="zh-CN"/>
        </w:rPr>
        <w:t>条件一：</w:t>
      </w:r>
      <w:r>
        <w:rPr>
          <w:rFonts w:hint="eastAsia"/>
          <w:b/>
          <w:bCs/>
          <w:color w:val="0000FF"/>
          <w:sz w:val="48"/>
          <w:szCs w:val="48"/>
          <w:lang w:eastAsia="zh-CN"/>
        </w:rPr>
        <w:t>其他类型——猎庄狙击（庄家上穿散户）</w:t>
      </w:r>
    </w:p>
    <w:p>
      <w:pPr>
        <w:rPr>
          <w:rFonts w:hint="eastAsia"/>
          <w:b/>
          <w:bCs/>
          <w:color w:val="FF0000"/>
          <w:sz w:val="48"/>
          <w:szCs w:val="48"/>
          <w:lang w:eastAsia="zh-CN"/>
        </w:rPr>
      </w:pPr>
    </w:p>
    <w:p>
      <w:pPr>
        <w:rPr>
          <w:rFonts w:hint="eastAsia"/>
          <w:b/>
          <w:bCs/>
          <w:color w:val="0000FF"/>
          <w:sz w:val="48"/>
          <w:szCs w:val="48"/>
          <w:lang w:eastAsia="zh-CN"/>
        </w:rPr>
      </w:pPr>
      <w:r>
        <w:rPr>
          <w:rFonts w:hint="eastAsia"/>
          <w:b/>
          <w:bCs/>
          <w:color w:val="FF0000"/>
          <w:sz w:val="48"/>
          <w:szCs w:val="48"/>
          <w:lang w:val="en-US" w:eastAsia="zh-CN"/>
        </w:rPr>
        <w:t>条件二：</w:t>
      </w:r>
      <w:r>
        <w:rPr>
          <w:rFonts w:hint="eastAsia"/>
          <w:b/>
          <w:bCs/>
          <w:color w:val="0000FF"/>
          <w:sz w:val="48"/>
          <w:szCs w:val="48"/>
          <w:lang w:eastAsia="zh-CN"/>
        </w:rPr>
        <w:t>均线型（收盘价大于10天线，MA2）</w:t>
      </w:r>
    </w:p>
    <w:p>
      <w:pPr>
        <w:rPr>
          <w:rFonts w:hint="eastAsia"/>
          <w:b/>
          <w:bCs/>
          <w:color w:val="FF0000"/>
          <w:sz w:val="48"/>
          <w:szCs w:val="48"/>
          <w:lang w:eastAsia="zh-CN"/>
        </w:rPr>
      </w:pPr>
    </w:p>
    <w:p>
      <w:pPr>
        <w:rPr>
          <w:rFonts w:hint="eastAsia"/>
          <w:b/>
          <w:bCs/>
          <w:color w:val="0000FF"/>
          <w:sz w:val="48"/>
          <w:szCs w:val="48"/>
          <w:lang w:eastAsia="zh-CN"/>
        </w:rPr>
      </w:pPr>
      <w:r>
        <w:rPr>
          <w:rFonts w:hint="eastAsia"/>
          <w:b/>
          <w:bCs/>
          <w:color w:val="FF0000"/>
          <w:sz w:val="48"/>
          <w:szCs w:val="48"/>
          <w:lang w:val="en-US" w:eastAsia="zh-CN"/>
        </w:rPr>
        <w:t>条件三：</w:t>
      </w:r>
      <w:r>
        <w:rPr>
          <w:rFonts w:hint="eastAsia"/>
          <w:b/>
          <w:bCs/>
          <w:color w:val="0000FF"/>
          <w:sz w:val="48"/>
          <w:szCs w:val="48"/>
          <w:lang w:eastAsia="zh-CN"/>
        </w:rPr>
        <w:t>实时行情：次新股换手率大于10%，一般个股换手率大于2%</w:t>
      </w:r>
    </w:p>
    <w:p>
      <w:pPr>
        <w:rPr>
          <w:rFonts w:hint="eastAsia"/>
          <w:b/>
          <w:bCs/>
          <w:color w:val="FF0000"/>
          <w:sz w:val="48"/>
          <w:szCs w:val="48"/>
          <w:lang w:eastAsia="zh-CN"/>
        </w:rPr>
      </w:pPr>
    </w:p>
    <w:p>
      <w:pPr>
        <w:rPr>
          <w:rFonts w:hint="eastAsia"/>
          <w:b/>
          <w:bCs/>
          <w:color w:val="0000FF"/>
          <w:sz w:val="48"/>
          <w:szCs w:val="48"/>
          <w:lang w:eastAsia="zh-CN"/>
        </w:rPr>
      </w:pPr>
      <w:r>
        <w:rPr>
          <w:rFonts w:hint="eastAsia"/>
          <w:b/>
          <w:bCs/>
          <w:color w:val="FF0000"/>
          <w:sz w:val="48"/>
          <w:szCs w:val="48"/>
          <w:lang w:val="en-US" w:eastAsia="zh-CN"/>
        </w:rPr>
        <w:t>条件四：</w:t>
      </w:r>
      <w:r>
        <w:rPr>
          <w:rFonts w:hint="eastAsia"/>
          <w:b/>
          <w:bCs/>
          <w:color w:val="0000FF"/>
          <w:sz w:val="48"/>
          <w:szCs w:val="48"/>
          <w:lang w:eastAsia="zh-CN"/>
        </w:rPr>
        <w:t>最新财务——流通市值小于20亿。</w:t>
      </w:r>
    </w:p>
    <w:p>
      <w:pPr>
        <w:rPr>
          <w:rFonts w:hint="eastAsia"/>
          <w:b/>
          <w:bCs/>
          <w:color w:val="FF0000"/>
          <w:sz w:val="48"/>
          <w:szCs w:val="48"/>
          <w:lang w:eastAsia="zh-CN"/>
        </w:rPr>
      </w:pP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b/>
          <w:bCs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3、注意：</w:t>
      </w:r>
      <w:r>
        <w:rPr>
          <w:rFonts w:hint="eastAsia"/>
          <w:b/>
          <w:bCs/>
          <w:color w:val="000000" w:themeColor="text1"/>
          <w:sz w:val="44"/>
          <w:szCs w:val="44"/>
          <w:lang w:eastAsia="zh-CN"/>
          <w14:textFill>
            <w14:solidFill>
              <w14:schemeClr w14:val="tx1"/>
            </w14:solidFill>
          </w14:textFill>
        </w:rPr>
        <w:t>选股条件的设置，选不出我们需要的个股时候，那也是侧面印证当前行情可操作性差。短线不是每天都可以做的，短线操作的稳定性根据大盘的赚钱效应决定的！</w:t>
      </w:r>
    </w:p>
    <w:p>
      <w:pPr>
        <w:rPr>
          <w:rFonts w:hint="eastAsia"/>
          <w:b/>
          <w:bCs/>
          <w:color w:val="FFFFFF" w:themeColor="background1"/>
          <w:sz w:val="48"/>
          <w:szCs w:val="48"/>
          <w:highlight w:val="red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b/>
          <w:bCs/>
          <w:color w:val="FFFFFF" w:themeColor="background1"/>
          <w:sz w:val="48"/>
          <w:szCs w:val="48"/>
          <w:highlight w:val="red"/>
          <w:lang w:val="en-US" w:eastAsia="zh-CN"/>
          <w14:textFill>
            <w14:solidFill>
              <w14:schemeClr w14:val="bg1"/>
            </w14:solidFill>
          </w14:textFill>
        </w:rPr>
        <w:t>条件一：</w:t>
      </w:r>
      <w:r>
        <w:rPr>
          <w:rFonts w:hint="eastAsia"/>
          <w:b/>
          <w:bCs/>
          <w:color w:val="FFFFFF" w:themeColor="background1"/>
          <w:sz w:val="48"/>
          <w:szCs w:val="48"/>
          <w:highlight w:val="red"/>
          <w:lang w:eastAsia="zh-CN"/>
          <w14:textFill>
            <w14:solidFill>
              <w14:schemeClr w14:val="bg1"/>
            </w14:solidFill>
          </w14:textFill>
        </w:rPr>
        <w:t>其他类型——猎庄狙击（庄家上穿散户）</w:t>
      </w:r>
    </w:p>
    <w:p>
      <w:r>
        <w:drawing>
          <wp:inline distT="0" distB="0" distL="114300" distR="114300">
            <wp:extent cx="5273675" cy="4707255"/>
            <wp:effectExtent l="0" t="0" r="3175" b="1714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0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FFFF" w:themeColor="background1"/>
          <w:sz w:val="48"/>
          <w:szCs w:val="48"/>
          <w:highlight w:val="red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b/>
          <w:bCs/>
          <w:color w:val="FFFFFF" w:themeColor="background1"/>
          <w:sz w:val="48"/>
          <w:szCs w:val="48"/>
          <w:highlight w:val="red"/>
          <w:lang w:val="en-US" w:eastAsia="zh-CN"/>
          <w14:textFill>
            <w14:solidFill>
              <w14:schemeClr w14:val="bg1"/>
            </w14:solidFill>
          </w14:textFill>
        </w:rPr>
        <w:t>条件二：</w:t>
      </w:r>
      <w:r>
        <w:rPr>
          <w:rFonts w:hint="eastAsia"/>
          <w:b/>
          <w:bCs/>
          <w:color w:val="FFFFFF" w:themeColor="background1"/>
          <w:sz w:val="48"/>
          <w:szCs w:val="48"/>
          <w:highlight w:val="red"/>
          <w:lang w:eastAsia="zh-CN"/>
          <w14:textFill>
            <w14:solidFill>
              <w14:schemeClr w14:val="bg1"/>
            </w14:solidFill>
          </w14:textFill>
        </w:rPr>
        <w:t>均线型（收盘价大于10天线，MA2）</w:t>
      </w:r>
    </w:p>
    <w:p>
      <w:r>
        <w:drawing>
          <wp:inline distT="0" distB="0" distL="114300" distR="114300">
            <wp:extent cx="5263515" cy="4676775"/>
            <wp:effectExtent l="0" t="0" r="13335" b="952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pPr>
        <w:rPr>
          <w:rFonts w:hint="eastAsia"/>
          <w:b/>
          <w:bCs/>
          <w:color w:val="FFFFFF" w:themeColor="background1"/>
          <w:sz w:val="48"/>
          <w:szCs w:val="48"/>
          <w:highlight w:val="red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b/>
          <w:bCs/>
          <w:color w:val="FFFFFF" w:themeColor="background1"/>
          <w:sz w:val="48"/>
          <w:szCs w:val="48"/>
          <w:highlight w:val="red"/>
          <w:lang w:val="en-US" w:eastAsia="zh-CN"/>
          <w14:textFill>
            <w14:solidFill>
              <w14:schemeClr w14:val="bg1"/>
            </w14:solidFill>
          </w14:textFill>
        </w:rPr>
        <w:t>条件三：</w:t>
      </w:r>
      <w:r>
        <w:rPr>
          <w:rFonts w:hint="eastAsia"/>
          <w:b/>
          <w:bCs/>
          <w:color w:val="FFFFFF" w:themeColor="background1"/>
          <w:sz w:val="48"/>
          <w:szCs w:val="48"/>
          <w:highlight w:val="red"/>
          <w:lang w:eastAsia="zh-CN"/>
          <w14:textFill>
            <w14:solidFill>
              <w14:schemeClr w14:val="bg1"/>
            </w14:solidFill>
          </w14:textFill>
        </w:rPr>
        <w:t>实时行情：一般个股换手率大于2%（次新股设置为</w:t>
      </w:r>
      <w:r>
        <w:rPr>
          <w:rFonts w:hint="eastAsia"/>
          <w:b/>
          <w:bCs/>
          <w:color w:val="FFFFFF" w:themeColor="background1"/>
          <w:sz w:val="48"/>
          <w:szCs w:val="48"/>
          <w:highlight w:val="red"/>
          <w:lang w:val="en-US" w:eastAsia="zh-CN"/>
          <w14:textFill>
            <w14:solidFill>
              <w14:schemeClr w14:val="bg1"/>
            </w14:solidFill>
          </w14:textFill>
        </w:rPr>
        <w:t>10%</w:t>
      </w:r>
      <w:r>
        <w:rPr>
          <w:rFonts w:hint="eastAsia"/>
          <w:b/>
          <w:bCs/>
          <w:color w:val="FFFFFF" w:themeColor="background1"/>
          <w:sz w:val="48"/>
          <w:szCs w:val="48"/>
          <w:highlight w:val="red"/>
          <w:lang w:eastAsia="zh-CN"/>
          <w14:textFill>
            <w14:solidFill>
              <w14:schemeClr w14:val="bg1"/>
            </w14:solidFill>
          </w14:textFill>
        </w:rPr>
        <w:t>）</w:t>
      </w:r>
    </w:p>
    <w:p>
      <w:r>
        <w:drawing>
          <wp:inline distT="0" distB="0" distL="114300" distR="114300">
            <wp:extent cx="5846445" cy="5212080"/>
            <wp:effectExtent l="0" t="0" r="1905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521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rPr>
          <w:rFonts w:hint="eastAsia"/>
          <w:b/>
          <w:bCs/>
          <w:color w:val="FFFFFF" w:themeColor="background1"/>
          <w:sz w:val="48"/>
          <w:szCs w:val="48"/>
          <w:highlight w:val="red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b/>
          <w:bCs/>
          <w:color w:val="FFFFFF" w:themeColor="background1"/>
          <w:sz w:val="48"/>
          <w:szCs w:val="48"/>
          <w:highlight w:val="red"/>
          <w:lang w:val="en-US" w:eastAsia="zh-CN"/>
          <w14:textFill>
            <w14:solidFill>
              <w14:schemeClr w14:val="bg1"/>
            </w14:solidFill>
          </w14:textFill>
        </w:rPr>
        <w:t>条件四：</w:t>
      </w:r>
      <w:r>
        <w:rPr>
          <w:rFonts w:hint="eastAsia"/>
          <w:b/>
          <w:bCs/>
          <w:color w:val="FFFFFF" w:themeColor="background1"/>
          <w:sz w:val="48"/>
          <w:szCs w:val="48"/>
          <w:highlight w:val="red"/>
          <w:lang w:eastAsia="zh-CN"/>
          <w14:textFill>
            <w14:solidFill>
              <w14:schemeClr w14:val="bg1"/>
            </w14:solidFill>
          </w14:textFill>
        </w:rPr>
        <w:t>最新财务——流通市值小于20亿。</w:t>
      </w:r>
    </w:p>
    <w:p>
      <w:r>
        <w:drawing>
          <wp:inline distT="0" distB="0" distL="114300" distR="114300">
            <wp:extent cx="5820410" cy="5229860"/>
            <wp:effectExtent l="0" t="0" r="8890" b="889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522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jc w:val="center"/>
        <w:rPr>
          <w:rFonts w:hint="eastAsia" w:eastAsiaTheme="minorEastAsia"/>
          <w:b/>
          <w:bCs/>
          <w:color w:val="FFFFFF" w:themeColor="background1"/>
          <w:sz w:val="48"/>
          <w:szCs w:val="52"/>
          <w:highlight w:val="red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b/>
          <w:bCs/>
          <w:color w:val="FFFFFF" w:themeColor="background1"/>
          <w:sz w:val="48"/>
          <w:szCs w:val="52"/>
          <w:highlight w:val="red"/>
          <w:lang w:eastAsia="zh-CN"/>
          <w14:textFill>
            <w14:solidFill>
              <w14:schemeClr w14:val="bg1"/>
            </w14:solidFill>
          </w14:textFill>
        </w:rPr>
        <w:t>设置完成，执行选股！</w:t>
      </w:r>
    </w:p>
    <w:p>
      <w:r>
        <w:drawing>
          <wp:inline distT="0" distB="0" distL="114300" distR="114300">
            <wp:extent cx="5273675" cy="4735195"/>
            <wp:effectExtent l="0" t="0" r="3175" b="825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3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>
      <w:pPr>
        <w:rPr>
          <w:rFonts w:hint="eastAsia" w:eastAsiaTheme="minorEastAsia"/>
          <w:b/>
          <w:bCs/>
          <w:color w:val="1D41D5"/>
          <w:sz w:val="32"/>
          <w:szCs w:val="36"/>
          <w:lang w:eastAsia="zh-CN"/>
        </w:rPr>
      </w:pPr>
      <w:r>
        <w:rPr>
          <w:rFonts w:hint="eastAsia"/>
          <w:b/>
          <w:bCs/>
          <w:color w:val="1D41D5"/>
          <w:sz w:val="32"/>
          <w:szCs w:val="36"/>
          <w:lang w:eastAsia="zh-CN"/>
        </w:rPr>
        <w:t>猎庄狙击</w:t>
      </w:r>
      <w:r>
        <w:rPr>
          <w:rFonts w:hint="eastAsia"/>
          <w:b/>
          <w:bCs/>
          <w:color w:val="1D41D5"/>
          <w:sz w:val="32"/>
          <w:szCs w:val="36"/>
        </w:rPr>
        <w:t>指标</w:t>
      </w:r>
      <w:r>
        <w:rPr>
          <w:rFonts w:hint="eastAsia"/>
          <w:b/>
          <w:bCs/>
          <w:color w:val="1D41D5"/>
          <w:sz w:val="32"/>
          <w:szCs w:val="36"/>
          <w:lang w:eastAsia="zh-CN"/>
        </w:rPr>
        <w:t>选股器不仅</w:t>
      </w:r>
      <w:r>
        <w:rPr>
          <w:rFonts w:hint="eastAsia"/>
          <w:b/>
          <w:bCs/>
          <w:color w:val="1D41D5"/>
          <w:sz w:val="32"/>
          <w:szCs w:val="36"/>
        </w:rPr>
        <w:t>可以做短线，</w:t>
      </w:r>
      <w:r>
        <w:rPr>
          <w:rFonts w:hint="eastAsia"/>
          <w:b/>
          <w:bCs/>
          <w:color w:val="1D41D5"/>
          <w:sz w:val="32"/>
          <w:szCs w:val="36"/>
          <w:lang w:eastAsia="zh-CN"/>
        </w:rPr>
        <w:t>也可以做</w:t>
      </w:r>
      <w:r>
        <w:rPr>
          <w:rFonts w:hint="eastAsia"/>
          <w:b/>
          <w:bCs/>
          <w:color w:val="1D41D5"/>
          <w:sz w:val="32"/>
          <w:szCs w:val="36"/>
        </w:rPr>
        <w:t>中线</w:t>
      </w:r>
      <w:r>
        <w:rPr>
          <w:rFonts w:hint="eastAsia"/>
          <w:b/>
          <w:bCs/>
          <w:color w:val="1D41D5"/>
          <w:sz w:val="32"/>
          <w:szCs w:val="36"/>
          <w:lang w:eastAsia="zh-CN"/>
        </w:rPr>
        <w:t>和</w:t>
      </w:r>
      <w:r>
        <w:rPr>
          <w:rFonts w:hint="eastAsia"/>
          <w:b/>
          <w:bCs/>
          <w:color w:val="1D41D5"/>
          <w:sz w:val="32"/>
          <w:szCs w:val="36"/>
        </w:rPr>
        <w:t>长线</w:t>
      </w:r>
      <w:r>
        <w:rPr>
          <w:rFonts w:hint="eastAsia"/>
          <w:b/>
          <w:bCs/>
          <w:color w:val="1D41D5"/>
          <w:sz w:val="32"/>
          <w:szCs w:val="36"/>
          <w:lang w:eastAsia="zh-CN"/>
        </w:rPr>
        <w:t>。</w:t>
      </w:r>
      <w:r>
        <w:rPr>
          <w:rFonts w:hint="eastAsia"/>
          <w:b/>
          <w:bCs/>
          <w:color w:val="1D41D5"/>
          <w:sz w:val="32"/>
          <w:szCs w:val="36"/>
        </w:rPr>
        <w:br w:type="textWrapping"/>
      </w:r>
      <w:r>
        <w:rPr>
          <w:rFonts w:hint="eastAsia"/>
          <w:b/>
          <w:bCs/>
          <w:color w:val="1D41D5"/>
          <w:sz w:val="32"/>
          <w:szCs w:val="36"/>
          <w:lang w:eastAsia="zh-CN"/>
        </w:rPr>
        <w:t>猎庄狙击选股器</w:t>
      </w:r>
      <w:r>
        <w:rPr>
          <w:rFonts w:hint="eastAsia"/>
          <w:b/>
          <w:bCs/>
          <w:color w:val="1D41D5"/>
          <w:sz w:val="32"/>
          <w:szCs w:val="36"/>
        </w:rPr>
        <w:t>发现长线牛股前提：月线级别庄家持仓线上穿散户持仓线</w:t>
      </w:r>
      <w:r>
        <w:rPr>
          <w:rFonts w:hint="eastAsia"/>
          <w:b/>
          <w:bCs/>
          <w:color w:val="1D41D5"/>
          <w:sz w:val="32"/>
          <w:szCs w:val="36"/>
          <w:lang w:eastAsia="zh-CN"/>
        </w:rPr>
        <w:t>。</w:t>
      </w:r>
    </w:p>
    <w:p/>
    <w:p>
      <w:r>
        <w:drawing>
          <wp:inline distT="0" distB="0" distL="114300" distR="114300">
            <wp:extent cx="5728335" cy="3978275"/>
            <wp:effectExtent l="0" t="0" r="5715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rcRect l="3343" t="-168" r="229" b="168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  <w:highlight w:val="yellow"/>
        </w:rPr>
        <w:t>入场买点</w:t>
      </w:r>
      <w:r>
        <w:rPr>
          <w:rFonts w:hint="eastAsia"/>
          <w:b/>
          <w:bCs/>
          <w:sz w:val="32"/>
          <w:szCs w:val="36"/>
          <w:highlight w:val="yellow"/>
          <w:lang w:eastAsia="zh-CN"/>
        </w:rPr>
        <w:t>：</w:t>
      </w:r>
      <w:r>
        <w:rPr>
          <w:rFonts w:hint="eastAsia"/>
          <w:b/>
          <w:bCs/>
          <w:sz w:val="32"/>
          <w:szCs w:val="36"/>
        </w:rPr>
        <w:t>出现吸筹信号我们可以重点关注这只股，然后根据买卖提示点操作。</w:t>
      </w:r>
    </w:p>
    <w:p>
      <w:pPr>
        <w:ind w:firstLine="643" w:firstLineChars="200"/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color w:val="1D41D5"/>
          <w:sz w:val="32"/>
          <w:szCs w:val="36"/>
        </w:rPr>
        <w:t>第一买点B1：</w:t>
      </w:r>
      <w:r>
        <w:rPr>
          <w:rFonts w:hint="eastAsia"/>
          <w:b/>
          <w:bCs/>
          <w:sz w:val="32"/>
          <w:szCs w:val="36"/>
        </w:rPr>
        <w:t>红色柱体堆积区，主力吸筹，为第一买入位，操作激进者可在此点位买入，保守者可选择打底仓或继续关注等待；</w:t>
      </w:r>
    </w:p>
    <w:p>
      <w:pPr>
        <w:ind w:firstLine="643" w:firstLineChars="200"/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color w:val="1D41D5"/>
          <w:sz w:val="32"/>
          <w:szCs w:val="36"/>
        </w:rPr>
        <w:t>第二买点B2：</w:t>
      </w:r>
      <w:r>
        <w:rPr>
          <w:rFonts w:hint="eastAsia"/>
          <w:b/>
          <w:bCs/>
          <w:sz w:val="32"/>
          <w:szCs w:val="36"/>
        </w:rPr>
        <w:t>庄家持仓线（红色线）上穿散户持仓线（蓝色线），且持仓位相对较低，为第二买入位，说明筹码交换，主力开始控盘，股价将被快速拉升，操作保守者可选择在此点位买入；</w:t>
      </w:r>
    </w:p>
    <w:p>
      <w:pPr>
        <w:ind w:firstLine="643" w:firstLineChars="200"/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在庄家持仓线（红色线）上穿散户持仓线（蓝色线）时说明庄家完全控制盘面，筹码集中在主力手中股价会上演上涨——洗盘——上涨中期上涨趋势。</w:t>
      </w:r>
    </w:p>
    <w:p>
      <w:pPr>
        <w:rPr>
          <w:rFonts w:hint="eastAsia"/>
          <w:b/>
          <w:bCs/>
          <w:sz w:val="22"/>
          <w:szCs w:val="24"/>
        </w:rPr>
      </w:pPr>
    </w:p>
    <w:p>
      <w:pPr>
        <w:rPr>
          <w:rFonts w:hint="eastAsia" w:eastAsiaTheme="minorEastAsia"/>
          <w:b/>
          <w:bCs/>
          <w:sz w:val="32"/>
          <w:szCs w:val="36"/>
          <w:highlight w:val="yellow"/>
          <w:lang w:eastAsia="zh-CN"/>
        </w:rPr>
      </w:pPr>
      <w:r>
        <w:rPr>
          <w:rFonts w:hint="eastAsia"/>
          <w:b/>
          <w:bCs/>
          <w:sz w:val="32"/>
          <w:szCs w:val="36"/>
          <w:highlight w:val="yellow"/>
        </w:rPr>
        <w:t>离场卖点</w:t>
      </w:r>
      <w:r>
        <w:rPr>
          <w:rFonts w:hint="eastAsia"/>
          <w:b/>
          <w:bCs/>
          <w:sz w:val="32"/>
          <w:szCs w:val="36"/>
          <w:highlight w:val="yellow"/>
          <w:lang w:eastAsia="zh-CN"/>
        </w:rPr>
        <w:t>：</w:t>
      </w:r>
    </w:p>
    <w:p>
      <w:pPr>
        <w:ind w:firstLine="643" w:firstLineChars="200"/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color w:val="1D41D5"/>
          <w:sz w:val="32"/>
          <w:szCs w:val="36"/>
        </w:rPr>
        <w:t>第一卖点S1：</w:t>
      </w:r>
      <w:r>
        <w:rPr>
          <w:rFonts w:hint="eastAsia"/>
          <w:b/>
          <w:bCs/>
          <w:sz w:val="32"/>
          <w:szCs w:val="36"/>
        </w:rPr>
        <w:t>在庄家持仓线处于较高位置时，说明庄家手中筹码已经足够，开始减仓出逃，为第一卖出点位；</w:t>
      </w:r>
    </w:p>
    <w:p>
      <w:pPr>
        <w:ind w:firstLine="643" w:firstLineChars="200"/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color w:val="1D41D5"/>
          <w:sz w:val="32"/>
          <w:szCs w:val="36"/>
        </w:rPr>
        <w:t>第二卖点S2：</w:t>
      </w:r>
      <w:r>
        <w:rPr>
          <w:rFonts w:hint="eastAsia"/>
          <w:b/>
          <w:bCs/>
          <w:sz w:val="32"/>
          <w:szCs w:val="36"/>
        </w:rPr>
        <w:t>在庄家持仓线（红色线）下穿散户持仓线（蓝色线）时说明庄家出售筹码，筹码回到散户手中，股价会开始下跌不止，为第二卖出点位，应果断卖出。</w:t>
      </w:r>
    </w:p>
    <w:p>
      <w:pPr>
        <w:ind w:firstLine="643" w:firstLineChars="200"/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若蓝色散户持仓线（蓝色线）在上穿过庄家持仓线（红色线）之后持续上行，股价下跌也会持续。</w:t>
      </w:r>
    </w:p>
    <w:p>
      <w:pPr>
        <w:ind w:firstLine="643" w:firstLineChars="200"/>
        <w:rPr>
          <w:rFonts w:hint="eastAsia"/>
          <w:b/>
          <w:bCs/>
          <w:sz w:val="32"/>
          <w:szCs w:val="36"/>
        </w:rPr>
      </w:pPr>
    </w:p>
    <w:p>
      <w:pPr>
        <w:rPr>
          <w:rFonts w:hint="eastAsia"/>
          <w:b/>
          <w:bCs/>
          <w:sz w:val="32"/>
          <w:szCs w:val="36"/>
          <w:lang w:val="en-US" w:eastAsia="zh-CN"/>
        </w:rPr>
      </w:pPr>
    </w:p>
    <w:p>
      <w:pPr>
        <w:jc w:val="center"/>
        <w:rPr>
          <w:rFonts w:hint="eastAsia"/>
          <w:b/>
          <w:bCs/>
          <w:color w:val="FFFFFF" w:themeColor="background1"/>
          <w:sz w:val="48"/>
          <w:szCs w:val="52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b/>
          <w:bCs/>
          <w:color w:val="FFFFFF" w:themeColor="background1"/>
          <w:sz w:val="48"/>
          <w:szCs w:val="52"/>
          <w:highlight w:val="red"/>
          <w:lang w:val="en-US" w:eastAsia="zh-CN"/>
          <w14:textFill>
            <w14:solidFill>
              <w14:schemeClr w14:val="bg1"/>
            </w14:solidFill>
          </w14:textFill>
        </w:rPr>
        <w:t>重要通知</w:t>
      </w:r>
    </w:p>
    <w:p>
      <w:pPr>
        <w:ind w:firstLine="964" w:firstLineChars="200"/>
        <w:jc w:val="center"/>
        <w:rPr>
          <w:rFonts w:hint="eastAsia"/>
          <w:b/>
          <w:bCs/>
          <w:color w:val="FFFFFF" w:themeColor="background1"/>
          <w:sz w:val="48"/>
          <w:szCs w:val="52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ind w:firstLine="964" w:firstLineChars="200"/>
        <w:rPr>
          <w:rFonts w:hint="eastAsia"/>
          <w:b/>
          <w:bCs/>
          <w:color w:val="FFFFFF" w:themeColor="background1"/>
          <w:sz w:val="48"/>
          <w:szCs w:val="52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b/>
          <w:bCs/>
          <w:color w:val="FFFFFF" w:themeColor="background1"/>
          <w:sz w:val="48"/>
          <w:szCs w:val="52"/>
          <w:highlight w:val="red"/>
          <w:lang w:val="en-US" w:eastAsia="zh-CN"/>
          <w14:textFill>
            <w14:solidFill>
              <w14:schemeClr w14:val="bg1"/>
            </w14:solidFill>
          </w14:textFill>
        </w:rPr>
        <w:t>下次课程将带来《独孤九剑》第二剑：【缺口战法】——教你轻松把握牛股爆发位，狙击最强赚钱风口！每晚不见不散！</w:t>
      </w:r>
    </w:p>
    <w:p>
      <w:pPr>
        <w:rPr>
          <w:rFonts w:hint="eastAsia"/>
          <w:b/>
          <w:bCs/>
          <w:color w:val="FFFFFF" w:themeColor="background1"/>
          <w:sz w:val="40"/>
          <w:szCs w:val="44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b/>
          <w:bCs/>
          <w:color w:val="FFFFFF" w:themeColor="background1"/>
          <w:sz w:val="40"/>
          <w:szCs w:val="44"/>
          <w:highlight w:val="red"/>
          <w:lang w:val="en-US" w:eastAsia="zh-CN"/>
          <w14:textFill>
            <w14:solidFill>
              <w14:schemeClr w14:val="bg1"/>
            </w14:solidFill>
          </w14:textFill>
        </w:rPr>
        <w:drawing>
          <wp:inline distT="0" distB="0" distL="114300" distR="114300">
            <wp:extent cx="5270500" cy="6170930"/>
            <wp:effectExtent l="0" t="0" r="6350" b="1270"/>
            <wp:docPr id="13" name="图片 1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7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43" w:firstLineChars="200"/>
        <w:rPr>
          <w:rFonts w:hint="eastAsia"/>
          <w:b/>
          <w:bCs/>
          <w:sz w:val="32"/>
          <w:szCs w:val="36"/>
          <w:lang w:val="en-US" w:eastAsia="zh-CN"/>
        </w:rPr>
      </w:pPr>
      <w:r>
        <w:rPr>
          <w:rFonts w:hint="eastAsia"/>
          <w:b/>
          <w:bCs/>
          <w:sz w:val="32"/>
          <w:szCs w:val="36"/>
          <w:lang w:eastAsia="zh-CN"/>
        </w:rPr>
        <w:t>温馨提示：若有不明白的地方，任何问题请联系黄老师的助理，或者</w:t>
      </w:r>
      <w:r>
        <w:rPr>
          <w:rFonts w:hint="eastAsia"/>
          <w:b/>
          <w:bCs/>
          <w:sz w:val="32"/>
          <w:szCs w:val="36"/>
          <w:lang w:val="en-US" w:eastAsia="zh-CN"/>
        </w:rPr>
        <w:t>QQ群里的丹丹</w:t>
      </w:r>
      <w:bookmarkStart w:id="0" w:name="_GoBack"/>
      <w:bookmarkEnd w:id="0"/>
      <w:r>
        <w:rPr>
          <w:rFonts w:hint="eastAsia"/>
          <w:b/>
          <w:bCs/>
          <w:sz w:val="32"/>
          <w:szCs w:val="36"/>
          <w:lang w:val="en-US" w:eastAsia="zh-CN"/>
        </w:rPr>
        <w:t>主持人，或者私聊黄老师和股道！广东迅视财经教育栏目频道，在此希望帮助大家快速成长，学以致用，天天抓牛股！————结束</w:t>
      </w:r>
    </w:p>
    <w:p>
      <w:pPr>
        <w:rPr>
          <w:rFonts w:hint="eastAsia"/>
          <w:b/>
          <w:bCs/>
          <w:sz w:val="32"/>
          <w:szCs w:val="36"/>
          <w:lang w:val="en-US" w:eastAsia="zh-CN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（更多资讯请搜索关注公众号 NGLM168 最强散户操盘联盟）</w:t>
      </w:r>
    </w:p>
    <w:p>
      <w:pPr>
        <w:rPr>
          <w:rFonts w:hint="eastAsia"/>
          <w:b/>
          <w:bCs/>
          <w:color w:val="FFFFFF" w:themeColor="background1"/>
          <w:sz w:val="40"/>
          <w:szCs w:val="44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b/>
          <w:bCs/>
          <w:color w:val="FFFFFF" w:themeColor="background1"/>
          <w:sz w:val="40"/>
          <w:szCs w:val="44"/>
          <w:highlight w:val="red"/>
          <w:lang w:val="en-US" w:eastAsia="zh-CN"/>
          <w14:textFill>
            <w14:solidFill>
              <w14:schemeClr w14:val="bg1"/>
            </w14:solidFill>
          </w14:textFill>
        </w:rPr>
        <w:drawing>
          <wp:inline distT="0" distB="0" distL="114300" distR="114300">
            <wp:extent cx="5269865" cy="2352040"/>
            <wp:effectExtent l="0" t="0" r="6985" b="10160"/>
            <wp:docPr id="1" name="图片 1" descr="LYGLNW`DYG9T~7SBHTVI0U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YGLNW`DYG9T~7SBHTVI0U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doNotDisplayPageBoundaries w:val="1"/>
  <w:displayBackgroundShape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261"/>
    <w:rsid w:val="000D6CC2"/>
    <w:rsid w:val="00600593"/>
    <w:rsid w:val="00A21261"/>
    <w:rsid w:val="00AF09AB"/>
    <w:rsid w:val="00B1471F"/>
    <w:rsid w:val="00BC27C6"/>
    <w:rsid w:val="065A1293"/>
    <w:rsid w:val="0A640358"/>
    <w:rsid w:val="0F7542E8"/>
    <w:rsid w:val="18853A76"/>
    <w:rsid w:val="19B53203"/>
    <w:rsid w:val="2FBB5C2C"/>
    <w:rsid w:val="33884E96"/>
    <w:rsid w:val="3DD92D53"/>
    <w:rsid w:val="3E134110"/>
    <w:rsid w:val="51CC00B1"/>
    <w:rsid w:val="527A4149"/>
    <w:rsid w:val="709C350B"/>
    <w:rsid w:val="71DB13A6"/>
    <w:rsid w:val="78A14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semiHidden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Ainuosi</Company>
  <Pages>5</Pages>
  <Words>15</Words>
  <Characters>86</Characters>
  <Lines>1</Lines>
  <Paragraphs>1</Paragraphs>
  <TotalTime>31</TotalTime>
  <ScaleCrop>false</ScaleCrop>
  <LinksUpToDate>false</LinksUpToDate>
  <CharactersWithSpaces>100</CharactersWithSpaces>
  <Application>WPS Office_11.1.0.8515_F1E327BC-269C-435d-A152-05C5408002CA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2018-08-05T13:21:00Z</dcterms:created>
  <dc:creator>Windows 用户</dc:creator>
  <cp:lastModifiedBy>Administrator</cp:lastModifiedBy>
  <dcterms:modified xsi:type="dcterms:W3CDTF">2019-03-14T12:24:23Z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2052-11.1.0.8515</vt:lpwstr>
  </property>
</Properties>
</file>