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28"/>
          <w:szCs w:val="36"/>
          <w:lang w:eastAsia="zh-CN"/>
        </w:rPr>
      </w:pPr>
      <w:bookmarkStart w:id="0" w:name="_GoBack"/>
      <w:r>
        <w:rPr>
          <w:rFonts w:hint="eastAsia" w:ascii="微软雅黑" w:hAnsi="微软雅黑" w:eastAsia="微软雅黑" w:cs="微软雅黑"/>
          <w:b/>
          <w:bCs/>
          <w:sz w:val="28"/>
          <w:szCs w:val="36"/>
          <w:lang w:eastAsia="zh-CN"/>
        </w:rPr>
        <w:drawing>
          <wp:anchor distT="0" distB="0" distL="114935" distR="114935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40005</wp:posOffset>
            </wp:positionV>
            <wp:extent cx="7575550" cy="10684510"/>
            <wp:effectExtent l="0" t="0" r="0" b="2540"/>
            <wp:wrapTight wrapText="bothSides">
              <wp:wrapPolygon>
                <wp:start x="0" y="0"/>
                <wp:lineTo x="0" y="21567"/>
                <wp:lineTo x="21564" y="21567"/>
                <wp:lineTo x="21564" y="0"/>
                <wp:lineTo x="0" y="0"/>
              </wp:wrapPolygon>
            </wp:wrapTight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75550" cy="1068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>
      <w:pPr>
        <w:jc w:val="center"/>
        <w:rPr>
          <w:rFonts w:hint="eastAsia" w:ascii="楷体_GB2312" w:hAnsi="楷体_GB2312" w:eastAsia="楷体_GB2312"/>
          <w:b/>
          <w:bCs/>
          <w:color w:val="FF0000"/>
          <w:sz w:val="44"/>
          <w:szCs w:val="44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</w:rPr>
        <w:t>一</w:t>
      </w:r>
      <w:r>
        <w:rPr>
          <w:rFonts w:ascii="微软雅黑" w:hAnsi="微软雅黑" w:eastAsia="微软雅黑" w:cs="微软雅黑"/>
          <w:b/>
          <w:bCs/>
          <w:sz w:val="32"/>
          <w:szCs w:val="40"/>
        </w:rPr>
        <w:t>、</w:t>
      </w:r>
      <w:r>
        <w:rPr>
          <w:rFonts w:hint="eastAsia" w:ascii="微软雅黑" w:hAnsi="微软雅黑" w:eastAsia="微软雅黑" w:cs="微软雅黑"/>
          <w:b/>
          <w:bCs/>
          <w:sz w:val="32"/>
          <w:szCs w:val="40"/>
        </w:rPr>
        <w:t>（</w:t>
      </w:r>
      <w:r>
        <w:rPr>
          <w:rFonts w:ascii="微软雅黑" w:hAnsi="微软雅黑" w:eastAsia="微软雅黑" w:cs="微软雅黑"/>
          <w:b/>
          <w:bCs/>
          <w:sz w:val="32"/>
          <w:szCs w:val="40"/>
        </w:rPr>
        <w:t>电脑端）</w:t>
      </w:r>
      <w:r>
        <w:rPr>
          <w:rFonts w:hint="eastAsia" w:ascii="微软雅黑" w:hAnsi="微软雅黑" w:eastAsia="微软雅黑" w:cs="微软雅黑"/>
          <w:b/>
          <w:bCs/>
          <w:sz w:val="32"/>
          <w:szCs w:val="40"/>
        </w:rPr>
        <w:t>指标导入方法</w:t>
      </w:r>
      <w:r>
        <w:rPr>
          <w:rFonts w:hint="eastAsia" w:ascii="楷体_GB2312" w:hAnsi="楷体_GB2312" w:eastAsia="楷体_GB2312"/>
          <w:b/>
          <w:bCs/>
          <w:color w:val="FF0000"/>
          <w:sz w:val="72"/>
          <w:szCs w:val="72"/>
        </w:rPr>
        <w:t xml:space="preserve"> </w:t>
      </w:r>
    </w:p>
    <w:p>
      <w:pPr>
        <w:numPr>
          <w:ilvl w:val="0"/>
          <w:numId w:val="1"/>
        </w:numPr>
        <w:rPr>
          <w:rFonts w:hint="eastAsia"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打开通达信看盘软件后点击“功能”</w:t>
      </w:r>
    </w:p>
    <w:p>
      <w:pPr>
        <w:numPr>
          <w:ilvl w:val="0"/>
          <w:numId w:val="1"/>
        </w:numPr>
        <w:rPr>
          <w:rFonts w:hint="eastAsia"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选择“专家系统”</w:t>
      </w:r>
    </w:p>
    <w:p>
      <w:pPr>
        <w:numPr>
          <w:ilvl w:val="0"/>
          <w:numId w:val="1"/>
        </w:numPr>
        <w:rPr>
          <w:rFonts w:hint="eastAsia"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点击“公式管理器”</w:t>
      </w:r>
    </w:p>
    <w:p>
      <w:pPr>
        <w:rPr>
          <w:rFonts w:hint="eastAsia" w:ascii="宋体" w:hAnsi="宋体" w:cs="宋体"/>
          <w:sz w:val="24"/>
          <w:szCs w:val="32"/>
        </w:rPr>
      </w:pPr>
      <w:r>
        <w:rPr>
          <w:rFonts w:ascii="宋体" w:hAnsi="宋体" w:cs="宋体"/>
          <w:sz w:val="24"/>
          <w:szCs w:val="32"/>
        </w:rPr>
        <w:drawing>
          <wp:inline distT="0" distB="0" distL="114300" distR="114300">
            <wp:extent cx="3943350" cy="4467225"/>
            <wp:effectExtent l="0" t="0" r="0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或者打开软件后按CTRL+F键出现如下窗口</w:t>
      </w:r>
    </w:p>
    <w:p>
      <w:pPr>
        <w:jc w:val="left"/>
        <w:rPr>
          <w:rFonts w:hint="eastAsia"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drawing>
          <wp:inline distT="0" distB="0" distL="114300" distR="114300">
            <wp:extent cx="3406140" cy="4095115"/>
            <wp:effectExtent l="0" t="0" r="3810" b="63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409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 w:val="24"/>
          <w:szCs w:val="32"/>
        </w:rPr>
        <w:t xml:space="preserve"> </w:t>
      </w:r>
    </w:p>
    <w:p>
      <w:pPr>
        <w:jc w:val="left"/>
        <w:rPr>
          <w:rFonts w:hint="eastAsia"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 xml:space="preserve"> 4、点击导入公式（如上图）</w:t>
      </w:r>
    </w:p>
    <w:p>
      <w:pPr>
        <w:jc w:val="left"/>
        <w:rPr>
          <w:rFonts w:hint="eastAsia" w:ascii="宋体" w:hAnsi="宋体" w:cs="宋体"/>
          <w:sz w:val="24"/>
          <w:szCs w:val="32"/>
        </w:rPr>
      </w:pPr>
      <w:r>
        <w:rPr>
          <w:rFonts w:ascii="宋体" w:hAnsi="宋体" w:cs="宋体"/>
          <w:sz w:val="24"/>
          <w:szCs w:val="32"/>
        </w:rPr>
        <w:drawing>
          <wp:inline distT="0" distB="0" distL="114300" distR="114300">
            <wp:extent cx="4295140" cy="2580640"/>
            <wp:effectExtent l="0" t="0" r="10160" b="1016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5、选择指标的所在路径，例如放在桌面，就找到桌面，选择下方带有.tne后缀名的， 然后选中指标。</w:t>
      </w:r>
    </w:p>
    <w:p>
      <w:pPr>
        <w:jc w:val="left"/>
        <w:rPr>
          <w:rFonts w:hint="eastAsia"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6、点击“打开”弹出下图</w:t>
      </w:r>
    </w:p>
    <w:p>
      <w:pPr>
        <w:jc w:val="left"/>
        <w:rPr>
          <w:rFonts w:hint="eastAsia" w:ascii="宋体" w:hAnsi="宋体" w:cs="宋体"/>
          <w:sz w:val="24"/>
          <w:szCs w:val="32"/>
        </w:rPr>
      </w:pPr>
    </w:p>
    <w:p>
      <w:pPr>
        <w:jc w:val="left"/>
        <w:rPr>
          <w:rFonts w:hint="eastAsia"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drawing>
          <wp:inline distT="0" distB="0" distL="114300" distR="114300">
            <wp:extent cx="4724400" cy="3933825"/>
            <wp:effectExtent l="0" t="0" r="0" b="9525"/>
            <wp:docPr id="10" name="图片 6" descr="未命名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未命名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在“技术指标公式”和“其它类型”上打钩 点“确定” 指标就导入进去了，如出现指标同名无法导入，表示该指标已经导入进去无需再做导入。</w:t>
      </w:r>
    </w:p>
    <w:p>
      <w:pPr>
        <w:jc w:val="left"/>
        <w:rPr>
          <w:rFonts w:hint="eastAsia" w:ascii="宋体" w:hAnsi="宋体" w:cs="宋体"/>
          <w:sz w:val="24"/>
          <w:szCs w:val="32"/>
        </w:rPr>
      </w:pPr>
      <w:r>
        <w:rPr>
          <w:rFonts w:ascii="宋体" w:hAnsi="宋体" w:cs="宋体"/>
          <w:sz w:val="24"/>
          <w:szCs w:val="32"/>
        </w:rPr>
        <w:drawing>
          <wp:inline distT="0" distB="0" distL="114300" distR="114300">
            <wp:extent cx="3618865" cy="2647315"/>
            <wp:effectExtent l="0" t="0" r="635" b="6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cs="宋体"/>
          <w:sz w:val="24"/>
          <w:szCs w:val="32"/>
        </w:rPr>
      </w:pPr>
      <w:r>
        <w:rPr>
          <w:rFonts w:hint="eastAsia" w:ascii="宋体" w:hAnsi="宋体" w:cs="宋体"/>
          <w:sz w:val="24"/>
          <w:szCs w:val="32"/>
        </w:rPr>
        <w:t>输入【LZJJ】(猎庄</w:t>
      </w:r>
      <w:r>
        <w:rPr>
          <w:rFonts w:ascii="宋体" w:hAnsi="宋体" w:cs="宋体"/>
          <w:sz w:val="24"/>
          <w:szCs w:val="32"/>
        </w:rPr>
        <w:t>狙击拼音首字母</w:t>
      </w:r>
      <w:r>
        <w:rPr>
          <w:rFonts w:hint="eastAsia" w:ascii="宋体" w:hAnsi="宋体" w:cs="宋体"/>
          <w:sz w:val="24"/>
          <w:szCs w:val="32"/>
        </w:rPr>
        <w:t>)，敲【回车键】就能调出来帮助我们分析行情了.</w:t>
      </w:r>
    </w:p>
    <w:p>
      <w:pPr>
        <w:jc w:val="center"/>
        <w:rPr>
          <w:rFonts w:ascii="微软雅黑" w:hAnsi="微软雅黑" w:eastAsia="微软雅黑" w:cs="微软雅黑"/>
          <w:b/>
          <w:bCs/>
          <w:sz w:val="32"/>
          <w:szCs w:val="40"/>
        </w:rPr>
      </w:pPr>
      <w:r>
        <w:rPr>
          <w:rFonts w:ascii="宋体" w:hAnsi="宋体" w:cs="宋体"/>
          <w:sz w:val="24"/>
          <w:szCs w:val="32"/>
        </w:rPr>
        <w:br w:type="page"/>
      </w:r>
      <w:r>
        <w:rPr>
          <w:rFonts w:hint="eastAsia" w:ascii="微软雅黑" w:hAnsi="微软雅黑" w:eastAsia="微软雅黑" w:cs="微软雅黑"/>
          <w:b/>
          <w:bCs/>
          <w:sz w:val="32"/>
          <w:szCs w:val="40"/>
        </w:rPr>
        <w:t>二</w:t>
      </w:r>
      <w:r>
        <w:rPr>
          <w:rFonts w:ascii="微软雅黑" w:hAnsi="微软雅黑" w:eastAsia="微软雅黑" w:cs="微软雅黑"/>
          <w:b/>
          <w:bCs/>
          <w:sz w:val="32"/>
          <w:szCs w:val="40"/>
        </w:rPr>
        <w:t>、</w:t>
      </w:r>
      <w:r>
        <w:rPr>
          <w:rFonts w:hint="eastAsia" w:ascii="微软雅黑" w:hAnsi="微软雅黑" w:eastAsia="微软雅黑" w:cs="微软雅黑"/>
          <w:b/>
          <w:bCs/>
          <w:sz w:val="32"/>
          <w:szCs w:val="40"/>
        </w:rPr>
        <w:t>（手机</w:t>
      </w:r>
      <w:r>
        <w:rPr>
          <w:rFonts w:ascii="微软雅黑" w:hAnsi="微软雅黑" w:eastAsia="微软雅黑" w:cs="微软雅黑"/>
          <w:b/>
          <w:bCs/>
          <w:sz w:val="32"/>
          <w:szCs w:val="40"/>
        </w:rPr>
        <w:t>端）</w:t>
      </w:r>
      <w:r>
        <w:rPr>
          <w:rFonts w:hint="eastAsia" w:ascii="微软雅黑" w:hAnsi="微软雅黑" w:eastAsia="微软雅黑" w:cs="微软雅黑"/>
          <w:b/>
          <w:bCs/>
          <w:sz w:val="32"/>
          <w:szCs w:val="40"/>
        </w:rPr>
        <w:t>指标导入方法</w:t>
      </w:r>
    </w:p>
    <w:p>
      <w:pPr>
        <w:jc w:val="left"/>
        <w:rPr>
          <w:rFonts w:ascii="微软雅黑" w:hAnsi="微软雅黑" w:eastAsia="微软雅黑" w:cs="微软雅黑"/>
          <w:b/>
          <w:bCs/>
          <w:sz w:val="32"/>
          <w:szCs w:val="40"/>
        </w:rPr>
      </w:pPr>
      <w:r>
        <w:rPr>
          <w:rFonts w:ascii="微软雅黑" w:hAnsi="微软雅黑" w:eastAsia="微软雅黑" w:cs="微软雅黑"/>
          <w:bCs/>
          <w:sz w:val="24"/>
        </w:rPr>
        <w:t>1.</w:t>
      </w:r>
      <w:r>
        <w:rPr>
          <w:rFonts w:hint="eastAsia" w:ascii="微软雅黑" w:hAnsi="微软雅黑" w:eastAsia="微软雅黑" w:cs="微软雅黑"/>
          <w:bCs/>
          <w:sz w:val="24"/>
        </w:rPr>
        <w:t>只能</w:t>
      </w:r>
      <w:r>
        <w:rPr>
          <w:rFonts w:ascii="微软雅黑" w:hAnsi="微软雅黑" w:eastAsia="微软雅黑" w:cs="微软雅黑"/>
          <w:bCs/>
          <w:sz w:val="24"/>
        </w:rPr>
        <w:t>导入</w:t>
      </w:r>
      <w:r>
        <w:rPr>
          <w:rFonts w:hint="eastAsia" w:ascii="微软雅黑" w:hAnsi="微软雅黑" w:eastAsia="微软雅黑" w:cs="微软雅黑"/>
          <w:bCs/>
          <w:sz w:val="24"/>
        </w:rPr>
        <w:t>“通达信软件手机版</w:t>
      </w:r>
      <w:r>
        <w:rPr>
          <w:rFonts w:ascii="微软雅黑" w:hAnsi="微软雅黑" w:eastAsia="微软雅黑" w:cs="微软雅黑"/>
          <w:bCs/>
          <w:sz w:val="24"/>
        </w:rPr>
        <w:t>”</w:t>
      </w:r>
      <w:r>
        <w:rPr>
          <w:rFonts w:ascii="微软雅黑" w:hAnsi="微软雅黑" w:eastAsia="微软雅黑" w:cs="微软雅黑"/>
          <w:bCs/>
          <w:sz w:val="24"/>
        </w:rPr>
        <w:br w:type="textWrapping"/>
      </w:r>
      <w:r>
        <w:rPr>
          <w:rFonts w:ascii="微软雅黑" w:hAnsi="微软雅黑" w:eastAsia="微软雅黑" w:cs="微软雅黑"/>
          <w:bCs/>
          <w:sz w:val="24"/>
        </w:rPr>
        <w:t>2.</w:t>
      </w:r>
      <w:r>
        <w:rPr>
          <w:rFonts w:hint="eastAsia" w:ascii="微软雅黑" w:hAnsi="微软雅黑" w:eastAsia="微软雅黑" w:cs="微软雅黑"/>
          <w:bCs/>
          <w:sz w:val="24"/>
        </w:rPr>
        <w:t>复制</w:t>
      </w:r>
      <w:r>
        <w:rPr>
          <w:rFonts w:ascii="微软雅黑" w:hAnsi="微软雅黑" w:eastAsia="微软雅黑" w:cs="微软雅黑"/>
          <w:bCs/>
          <w:sz w:val="24"/>
        </w:rPr>
        <w:t>源代码</w:t>
      </w:r>
      <w:r>
        <w:rPr>
          <w:rFonts w:hint="eastAsia" w:ascii="微软雅黑" w:hAnsi="微软雅黑" w:eastAsia="微软雅黑" w:cs="微软雅黑"/>
          <w:bCs/>
          <w:sz w:val="24"/>
        </w:rPr>
        <w:t>（在文档</w:t>
      </w:r>
      <w:r>
        <w:rPr>
          <w:rFonts w:ascii="微软雅黑" w:hAnsi="微软雅黑" w:eastAsia="微软雅黑" w:cs="微软雅黑"/>
          <w:bCs/>
          <w:sz w:val="24"/>
        </w:rPr>
        <w:t>末尾</w:t>
      </w:r>
      <w:r>
        <w:rPr>
          <w:rFonts w:hint="eastAsia" w:ascii="微软雅黑" w:hAnsi="微软雅黑" w:eastAsia="微软雅黑" w:cs="微软雅黑"/>
          <w:bCs/>
          <w:sz w:val="24"/>
        </w:rPr>
        <w:t>）</w:t>
      </w:r>
      <w:r>
        <w:rPr>
          <w:rFonts w:ascii="微软雅黑" w:hAnsi="微软雅黑" w:eastAsia="微软雅黑" w:cs="微软雅黑"/>
          <w:bCs/>
          <w:sz w:val="24"/>
        </w:rPr>
        <w:t>，然后打开</w:t>
      </w:r>
      <w:r>
        <w:rPr>
          <w:rFonts w:hint="eastAsia" w:ascii="微软雅黑" w:hAnsi="微软雅黑" w:eastAsia="微软雅黑" w:cs="微软雅黑"/>
          <w:bCs/>
          <w:sz w:val="24"/>
        </w:rPr>
        <w:t>手机</w:t>
      </w:r>
      <w:r>
        <w:rPr>
          <w:rFonts w:ascii="微软雅黑" w:hAnsi="微软雅黑" w:eastAsia="微软雅黑" w:cs="微软雅黑"/>
          <w:bCs/>
          <w:sz w:val="24"/>
        </w:rPr>
        <w:t>通达信软件，按下图教程操作</w:t>
      </w:r>
      <w:r>
        <w:rPr>
          <w:rFonts w:ascii="微软雅黑" w:hAnsi="微软雅黑" w:eastAsia="微软雅黑" w:cs="微软雅黑"/>
          <w:b/>
          <w:bCs/>
          <w:sz w:val="32"/>
          <w:szCs w:val="40"/>
        </w:rPr>
        <w:br w:type="textWrapping"/>
      </w:r>
      <w:r>
        <w:rPr>
          <w:rFonts w:ascii="微软雅黑" w:hAnsi="微软雅黑" w:eastAsia="微软雅黑" w:cs="微软雅黑"/>
          <w:b/>
          <w:bCs/>
          <w:sz w:val="32"/>
          <w:szCs w:val="40"/>
        </w:rPr>
        <w:drawing>
          <wp:inline distT="0" distB="0" distL="114300" distR="114300">
            <wp:extent cx="5707380" cy="3295650"/>
            <wp:effectExtent l="0" t="0" r="7620" b="0"/>
            <wp:docPr id="3" name="图片 8" descr="4LG~CX6UEZ27T{ZZE24(JY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 descr="4LG~CX6UEZ27T{ZZE24(JY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640070" cy="3266440"/>
            <wp:effectExtent l="0" t="0" r="17780" b="10160"/>
            <wp:docPr id="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26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eastAsia"/>
        </w:rPr>
        <w:t>附</w:t>
      </w:r>
      <w:r>
        <w:t>：指标源代码</w:t>
      </w:r>
      <w:r>
        <w:rPr>
          <w:rFonts w:hint="eastAsia"/>
        </w:rPr>
        <w:t>——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 xml:space="preserve">M:=55;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N:=34;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LC:=REF(CLOSE,1);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RSI:=((SMA(MAX((CLOSE - LC),0),3,1) / SMA(ABS((CLOSE - LC)),3,1)) * 100);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FF:=EMA(CLOSE,3);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MA15:=EMA(CLOSE,21);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VAR1:=IF(YEAR&gt;=2038 AND MONTH&gt;=1,0,1);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VAR2:=REF(LOW,1)*VAR1;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VAR3:=SMA(ABS(LOW-VAR2),3,1)/SMA(MAX(LOW-VAR2,0),3,1)*100*VAR1;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VAR4:=EMA(IF(CLOSE*1.3,VAR3*10,VAR3/10),3)*VAR1;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VAR5:=LLV(LOW,30)*VAR1;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VAR6:=HHV(VAR4,30)*VAR1;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VAR7:=IF(MA(CLOSE,58),1,0)*VAR1;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VAR8:=EMA(IF(LOW&lt;=VAR5,(VAR4+VAR6*2)/2,0),3)/618*VAR7*VAR1;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吸筹:IF(VAR8&gt;100,100,VAR8)*VAR1,COLORRED;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庄家吸筹:STICKLINE(吸筹&gt;-150,0,吸筹,8,0),COLORRED;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散户: 100*(HHV(HIGH,M)-CLOSE)/(HHV(HIGH,M)-LLV(LOW,M)),COLORLIBLUE,LINETHICK2;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RSV:=(CLOSE-LLV(LOW,N))/(HHV(HIGH,N)-LLV(LOW,N))*100;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K:=SMA(RSV,3,1);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D:=SMA(K,3,1);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J:=3*K-2*D; </w:t>
      </w:r>
    </w:p>
    <w:p>
      <w:pPr>
        <w:jc w:val="left"/>
        <w:rPr>
          <w:rFonts w:hint="eastAsia"/>
        </w:rPr>
      </w:pPr>
      <w:r>
        <w:rPr>
          <w:rFonts w:hint="eastAsia"/>
        </w:rPr>
        <w:t>庄家:EMA(J,6),COLORLIRED,LINETHICK2;</w:t>
      </w:r>
    </w:p>
    <w:p>
      <w:pPr>
        <w:jc w:val="left"/>
        <w:rPr>
          <w:rFonts w:hint="eastAsia"/>
        </w:rPr>
      </w:pPr>
      <w:r>
        <w:rPr>
          <w:rFonts w:hint="eastAsia"/>
        </w:rPr>
        <w:t>第一买点:DRAWTEXT(CROSS(14,吸筹),10,'B1'),COLORYELLOW;</w:t>
      </w:r>
    </w:p>
    <w:p>
      <w:pPr>
        <w:jc w:val="left"/>
        <w:rPr>
          <w:rFonts w:hint="eastAsia"/>
        </w:rPr>
      </w:pPr>
      <w:r>
        <w:rPr>
          <w:rFonts w:hint="eastAsia"/>
        </w:rPr>
        <w:t>第二买点:DRAWTEXT(CROSS(庄家,散户) &amp;&amp; 庄家&lt;50,30,'B2'),COLORRED;</w:t>
      </w:r>
    </w:p>
    <w:p>
      <w:pPr>
        <w:jc w:val="left"/>
        <w:rPr>
          <w:rFonts w:hint="eastAsia"/>
        </w:rPr>
      </w:pPr>
      <w:r>
        <w:rPr>
          <w:rFonts w:hint="eastAsia"/>
        </w:rPr>
        <w:t>第一卖点:DRAWTEXT(CROSS(88,庄家),80,'S1'),COLORGREEN;</w:t>
      </w:r>
    </w:p>
    <w:p>
      <w:pPr>
        <w:jc w:val="left"/>
        <w:rPr>
          <w:rFonts w:hint="eastAsia"/>
        </w:rPr>
      </w:pPr>
      <w:r>
        <w:rPr>
          <w:rFonts w:hint="eastAsia"/>
        </w:rPr>
        <w:t>第二卖点:DRAWTEXT(CROSS(散户,庄家),60,'S2'),COLORCYAN;</w:t>
      </w:r>
    </w:p>
    <w:p/>
    <w:sectPr>
      <w:headerReference r:id="rId5" w:type="first"/>
      <w:footerReference r:id="rId7" w:type="first"/>
      <w:headerReference r:id="rId3" w:type="default"/>
      <w:headerReference r:id="rId4" w:type="even"/>
      <w:footerReference r:id="rId6" w:type="even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auto" w:sz="4" w:space="1"/>
      </w:pBdr>
      <w:jc w:val="both"/>
      <w:rPr>
        <w:rFonts w:hint="eastAsia"/>
        <w:b/>
        <w:bCs/>
      </w:rPr>
    </w:pPr>
    <w:r>
      <w:rPr>
        <w:rFonts w:hint="eastAsia" w:ascii="楷体" w:hAnsi="楷体" w:eastAsia="楷体" w:cs="楷体"/>
        <w:sz w:val="21"/>
        <w:szCs w:val="21"/>
        <w:lang w:eastAsia="zh-CN"/>
      </w:rPr>
      <w:t>独狐九剑战法——</w:t>
    </w:r>
    <w:r>
      <w:rPr>
        <w:rFonts w:hint="eastAsia" w:ascii="楷体" w:hAnsi="楷体" w:eastAsia="楷体" w:cs="楷体"/>
        <w:sz w:val="21"/>
        <w:szCs w:val="21"/>
      </w:rPr>
      <w:t>第</w:t>
    </w:r>
    <w:r>
      <w:rPr>
        <w:rFonts w:hint="eastAsia" w:ascii="楷体" w:hAnsi="楷体" w:eastAsia="楷体" w:cs="楷体"/>
        <w:sz w:val="21"/>
        <w:szCs w:val="21"/>
        <w:lang w:eastAsia="zh-CN"/>
      </w:rPr>
      <w:t>一剑</w:t>
    </w:r>
    <w:r>
      <w:rPr>
        <w:rFonts w:hint="eastAsia" w:ascii="楷体" w:hAnsi="楷体" w:eastAsia="楷体" w:cs="楷体"/>
        <w:sz w:val="21"/>
        <w:szCs w:val="21"/>
      </w:rPr>
      <w:t>：猎庄狙击</w:t>
    </w:r>
    <w:r>
      <w:rPr>
        <w:rFonts w:hint="eastAsia" w:ascii="楷体" w:hAnsi="楷体" w:eastAsia="楷体" w:cs="楷体"/>
        <w:sz w:val="21"/>
        <w:szCs w:val="21"/>
        <w:lang w:eastAsia="zh-CN"/>
      </w:rPr>
      <w:t>指标战法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637EF5"/>
    <w:multiLevelType w:val="multilevel"/>
    <w:tmpl w:val="60637EF5"/>
    <w:lvl w:ilvl="0" w:tentative="0">
      <w:start w:val="1"/>
      <w:numFmt w:val="decimal"/>
      <w:lvlText w:val="%1、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0DD4A29"/>
    <w:rsid w:val="02171A54"/>
    <w:rsid w:val="23A02343"/>
    <w:rsid w:val="23B11FD0"/>
    <w:rsid w:val="41401A01"/>
    <w:rsid w:val="4ABF4D28"/>
    <w:rsid w:val="4F195987"/>
    <w:rsid w:val="50DD4A29"/>
    <w:rsid w:val="50E577AD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0" w:semiHidden="0" w:name="header"/>
    <w:lsdException w:qFormat="1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jpe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2018-05-18T08:52:00Z</dcterms:created>
  <dc:creator>mrmong</dc:creator>
  <cp:lastModifiedBy>Kalson</cp:lastModifiedBy>
  <dcterms:modified xsi:type="dcterms:W3CDTF">2019-03-12T09:02:32Z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  <property fmtid="{D5CDD505-2E9C-101B-9397-08002B2CF9AE}" pid="3" name="KSORubyTemplateID" linkTarget="0">
    <vt:lpwstr>6</vt:lpwstr>
  </property>
</Properties>
</file>