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rPr>
          <w:rFonts w:hint="eastAsia" w:ascii="微软雅黑" w:hAnsi="微软雅黑" w:eastAsia="微软雅黑" w:cs="微软雅黑"/>
          <w:sz w:val="36"/>
          <w:szCs w:val="36"/>
          <w:lang w:eastAsia="zh-CN"/>
        </w:rPr>
      </w:pPr>
      <w:r>
        <w:rPr>
          <w:rFonts w:hint="eastAsia" w:ascii="微软雅黑" w:hAnsi="微软雅黑" w:eastAsia="微软雅黑" w:cs="微软雅黑"/>
          <w:sz w:val="36"/>
          <w:szCs w:val="36"/>
          <w:lang w:eastAsia="zh-CN"/>
        </w:rPr>
        <w:drawing>
          <wp:anchor distT="0" distB="0" distL="114935" distR="114935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40005</wp:posOffset>
            </wp:positionV>
            <wp:extent cx="7552690" cy="10684510"/>
            <wp:effectExtent l="0" t="0" r="10160" b="2540"/>
            <wp:wrapTight wrapText="bothSides">
              <wp:wrapPolygon>
                <wp:start x="0" y="0"/>
                <wp:lineTo x="0" y="21567"/>
                <wp:lineTo x="21520" y="21567"/>
                <wp:lineTo x="21520" y="0"/>
                <wp:lineTo x="0" y="0"/>
              </wp:wrapPolygon>
            </wp:wrapTight>
            <wp:docPr id="4" name="图片 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068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eastAsia" w:ascii="微软雅黑" w:hAnsi="微软雅黑" w:eastAsia="微软雅黑" w:cs="微软雅黑"/>
          <w:b/>
          <w:bCs/>
          <w:sz w:val="52"/>
          <w:szCs w:val="52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jc w:val="both"/>
        <w:rPr>
          <w:rFonts w:hint="eastAsia" w:ascii="微软雅黑" w:hAnsi="微软雅黑" w:eastAsia="微软雅黑" w:cs="微软雅黑"/>
          <w:b/>
          <w:bCs/>
          <w:sz w:val="52"/>
          <w:szCs w:val="5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36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44"/>
          <w:szCs w:val="44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eastAsia="zh-CN"/>
        </w:rPr>
        <w:t>独孤战法第八剑——</w:t>
      </w:r>
      <w:r>
        <w:rPr>
          <w:rFonts w:hint="eastAsia" w:ascii="微软雅黑" w:hAnsi="微软雅黑" w:eastAsia="微软雅黑" w:cs="微软雅黑"/>
          <w:b/>
          <w:bCs/>
          <w:sz w:val="44"/>
          <w:szCs w:val="44"/>
        </w:rPr>
        <w:t>《妖股战法》</w:t>
      </w:r>
    </w:p>
    <w:p>
      <w:pPr>
        <w:rPr>
          <w:rFonts w:hint="eastAsia" w:ascii="微软雅黑" w:hAnsi="微软雅黑" w:eastAsia="微软雅黑" w:cs="微软雅黑"/>
          <w:b/>
          <w:bCs/>
          <w:sz w:val="52"/>
          <w:szCs w:val="52"/>
        </w:rPr>
      </w:pPr>
    </w:p>
    <w:sdt>
      <w:sdtPr>
        <w:rPr>
          <w:rFonts w:hint="eastAsia" w:ascii="微软雅黑" w:hAnsi="微软雅黑" w:eastAsia="微软雅黑" w:cs="微软雅黑"/>
          <w:kern w:val="2"/>
          <w:sz w:val="21"/>
          <w:szCs w:val="22"/>
          <w:lang w:val="en-US" w:eastAsia="zh-CN" w:bidi="ar-SA"/>
        </w:rPr>
        <w:id w:val="147463221"/>
        <w:docPartObj>
          <w:docPartGallery w:val="Table of Contents"/>
          <w:docPartUnique/>
        </w:docPartObj>
      </w:sdtPr>
      <w:sdtEndPr>
        <w:rPr>
          <w:rFonts w:hint="eastAsia" w:ascii="微软雅黑" w:hAnsi="微软雅黑" w:eastAsia="微软雅黑" w:cs="微软雅黑"/>
          <w:kern w:val="2"/>
          <w:sz w:val="21"/>
          <w:szCs w:val="28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</w:pP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t>目录</w:t>
          </w:r>
        </w:p>
        <w:p>
          <w:pPr>
            <w:pStyle w:val="6"/>
            <w:tabs>
              <w:tab w:val="right" w:leader="underscore" w:pos="8306"/>
              <w:tab w:val="clear" w:pos="8296"/>
            </w:tabs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</w:pP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begin"/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instrText xml:space="preserve">TOC \o "1-3" \h \u </w:instrText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begin"/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instrText xml:space="preserve"> HYPERLINK \l _Toc16159 </w:instrText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t>前言</w:t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tab/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begin"/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instrText xml:space="preserve"> PAGEREF _Toc16159 </w:instrText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t>3</w:t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end"/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end"/>
          </w:r>
        </w:p>
        <w:p>
          <w:pPr>
            <w:pStyle w:val="6"/>
            <w:tabs>
              <w:tab w:val="right" w:leader="underscore" w:pos="8306"/>
              <w:tab w:val="clear" w:pos="8296"/>
            </w:tabs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</w:pP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begin"/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instrText xml:space="preserve"> HYPERLINK \l _Toc11886 </w:instrText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t>核心一：龙头首阴，买入就赢</w:t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tab/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begin"/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instrText xml:space="preserve"> PAGEREF _Toc11886 </w:instrText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t>4</w:t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end"/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end"/>
          </w:r>
        </w:p>
        <w:p>
          <w:pPr>
            <w:pStyle w:val="6"/>
            <w:tabs>
              <w:tab w:val="right" w:leader="underscore" w:pos="8306"/>
              <w:tab w:val="clear" w:pos="8296"/>
            </w:tabs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</w:pP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begin"/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instrText xml:space="preserve"> HYPERLINK \l _Toc16043 </w:instrText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t>核心二：烂而不弱，再涨一波</w:t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tab/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begin"/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instrText xml:space="preserve"> PAGEREF _Toc16043 </w:instrText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t>5</w:t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end"/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end"/>
          </w:r>
        </w:p>
        <w:p>
          <w:pPr>
            <w:pStyle w:val="6"/>
            <w:tabs>
              <w:tab w:val="right" w:leader="underscore" w:pos="8306"/>
              <w:tab w:val="clear" w:pos="8296"/>
            </w:tabs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</w:pP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begin"/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instrText xml:space="preserve"> HYPERLINK \l _Toc25708 </w:instrText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t>核心三：三板成妖，板块效应</w:t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tab/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begin"/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instrText xml:space="preserve"> PAGEREF _Toc25708 </w:instrText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t>7</w:t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end"/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end"/>
          </w:r>
        </w:p>
        <w:p>
          <w:pPr>
            <w:pStyle w:val="6"/>
            <w:tabs>
              <w:tab w:val="right" w:leader="underscore" w:pos="8306"/>
              <w:tab w:val="clear" w:pos="8296"/>
            </w:tabs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</w:pP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begin"/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instrText xml:space="preserve"> HYPERLINK \l _Toc11925 </w:instrText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t>核心四：妖股以双头结束</w:t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tab/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begin"/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instrText xml:space="preserve"> PAGEREF _Toc11925 </w:instrText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t>9</w:t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end"/>
          </w: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end"/>
          </w:r>
        </w:p>
        <w:p>
          <w:pPr>
            <w:rPr>
              <w:rFonts w:hint="eastAsia" w:ascii="微软雅黑" w:hAnsi="微软雅黑" w:eastAsia="微软雅黑" w:cs="微软雅黑"/>
              <w:sz w:val="28"/>
              <w:szCs w:val="28"/>
            </w:rPr>
          </w:pPr>
          <w:r>
            <w:rPr>
              <w:rFonts w:hint="eastAsia" w:ascii="微软雅黑" w:hAnsi="微软雅黑" w:eastAsia="微软雅黑" w:cs="微软雅黑"/>
              <w:b/>
              <w:bCs/>
              <w:sz w:val="44"/>
              <w:szCs w:val="44"/>
            </w:rPr>
            <w:fldChar w:fldCharType="end"/>
          </w:r>
        </w:p>
      </w:sdtContent>
    </w:sdt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jc w:val="center"/>
        <w:outlineLvl w:val="0"/>
        <w:rPr>
          <w:rFonts w:hint="eastAsia" w:ascii="微软雅黑" w:hAnsi="微软雅黑" w:eastAsia="微软雅黑" w:cs="微软雅黑"/>
          <w:b/>
          <w:sz w:val="36"/>
          <w:szCs w:val="36"/>
        </w:rPr>
      </w:pPr>
      <w:bookmarkStart w:id="0" w:name="_Toc27937"/>
      <w:bookmarkStart w:id="1" w:name="_Toc11921"/>
      <w:bookmarkStart w:id="2" w:name="_Toc517187397"/>
      <w:bookmarkStart w:id="3" w:name="_Toc16159"/>
      <w:r>
        <w:rPr>
          <w:rFonts w:hint="eastAsia" w:ascii="微软雅黑" w:hAnsi="微软雅黑" w:eastAsia="微软雅黑" w:cs="微软雅黑"/>
          <w:b/>
          <w:sz w:val="36"/>
          <w:szCs w:val="36"/>
        </w:rPr>
        <w:t>前言</w:t>
      </w:r>
      <w:bookmarkEnd w:id="0"/>
      <w:bookmarkEnd w:id="1"/>
      <w:bookmarkEnd w:id="2"/>
      <w:bookmarkEnd w:id="3"/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投资经验比较丰富的股友，一定能够注意到A股市场有一类最吸引眼球的标的——妖股，即使在股灾期间也有梅雁吉祥、特力A、洛阳玻璃等等妖股。今年就更不用说了，妖股层出不穷，既有东方通信、顺灏股份、人民网、大智慧等这种妖王，也有国际实业、东信和平、诚志股份、益生股份等大小妖。</w:t>
      </w:r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股是散户主导的市场，对于短期快速上涨的标的最能够吸引资金，只要有人关注就会有人追高交易，那么提前布局的资金就能够利用短期的市场情绪将筹码兑现。这就是妖气冲天、妖股当道的原因所在，最聪明的一线游资，就是利用了众多参与者“反正先炒了再说”心理，通过制造短线热点引诱散户追高，最终完成收割。</w:t>
      </w:r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妖股的妖性很大，也很难琢磨，即使是你买到了上涨数倍的妖股，但是你的操作失误或者买卖点判断不正确，依然有可能亏损离场。那么有没有针对妖股的操作战法呢？答案是有，并且妖股基本上都是有迹可循的，也是短线资金最容易获利的方法之一。</w:t>
      </w:r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妖股的产生，往往都是短期资金运作的结果，最精通短线运作的就是一线游资，在学习了《</w:t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独孤战法</w:t>
      </w:r>
      <w:r>
        <w:rPr>
          <w:rFonts w:hint="eastAsia" w:ascii="微软雅黑" w:hAnsi="微软雅黑" w:eastAsia="微软雅黑" w:cs="微软雅黑"/>
          <w:sz w:val="28"/>
          <w:szCs w:val="28"/>
        </w:rPr>
        <w:t>》</w:t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前几式</w:t>
      </w:r>
      <w:r>
        <w:rPr>
          <w:rFonts w:hint="eastAsia" w:ascii="微软雅黑" w:hAnsi="微软雅黑" w:eastAsia="微软雅黑" w:cs="微软雅黑"/>
          <w:sz w:val="28"/>
          <w:szCs w:val="28"/>
        </w:rPr>
        <w:t>之后，很多股友都私聊</w:t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黄老师</w:t>
      </w:r>
      <w:r>
        <w:rPr>
          <w:rFonts w:hint="eastAsia" w:ascii="微软雅黑" w:hAnsi="微软雅黑" w:eastAsia="微软雅黑" w:cs="微软雅黑"/>
          <w:sz w:val="28"/>
          <w:szCs w:val="28"/>
        </w:rPr>
        <w:t>，想</w:t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深入</w:t>
      </w:r>
      <w:r>
        <w:rPr>
          <w:rFonts w:hint="eastAsia" w:ascii="微软雅黑" w:hAnsi="微软雅黑" w:eastAsia="微软雅黑" w:cs="微软雅黑"/>
          <w:sz w:val="28"/>
          <w:szCs w:val="28"/>
        </w:rPr>
        <w:t>学习涨停的奥义，想学习妖股背后的运作脉络。借着这个机会，</w:t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黄老师</w:t>
      </w:r>
      <w:r>
        <w:rPr>
          <w:rFonts w:hint="eastAsia" w:ascii="微软雅黑" w:hAnsi="微软雅黑" w:eastAsia="微软雅黑" w:cs="微软雅黑"/>
          <w:sz w:val="28"/>
          <w:szCs w:val="28"/>
        </w:rPr>
        <w:t>把自己压箱底《妖股战法》拿出来传授，希望大家借这次机会，认真学习，学有所成。成为新一代抓妖大师！</w:t>
      </w:r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jc w:val="center"/>
        <w:outlineLvl w:val="0"/>
        <w:rPr>
          <w:rFonts w:hint="eastAsia" w:ascii="微软雅黑" w:hAnsi="微软雅黑" w:eastAsia="微软雅黑" w:cs="微软雅黑"/>
          <w:b/>
          <w:sz w:val="36"/>
          <w:szCs w:val="36"/>
        </w:rPr>
      </w:pPr>
      <w:bookmarkStart w:id="4" w:name="_Toc11886"/>
      <w:r>
        <w:rPr>
          <w:rFonts w:hint="eastAsia" w:ascii="微软雅黑" w:hAnsi="微软雅黑" w:eastAsia="微软雅黑" w:cs="微软雅黑"/>
          <w:b/>
          <w:sz w:val="36"/>
          <w:szCs w:val="36"/>
        </w:rPr>
        <w:t>核心一：龙头首阴，买入就赢</w:t>
      </w:r>
      <w:bookmarkEnd w:id="4"/>
    </w:p>
    <w:p>
      <w:pPr>
        <w:jc w:val="center"/>
        <w:outlineLvl w:val="0"/>
        <w:rPr>
          <w:rFonts w:hint="eastAsia" w:ascii="微软雅黑" w:hAnsi="微软雅黑" w:eastAsia="微软雅黑" w:cs="微软雅黑"/>
          <w:b/>
          <w:sz w:val="36"/>
          <w:szCs w:val="36"/>
        </w:rPr>
      </w:pPr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股票是反人性的。特别对于短期强强势的龙头个股来说，前一天追进去的筹码，如果第二天出现低开，就会害怕被套而恐慌出逃。但是游资出货往往是边拉</w:t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边</w:t>
      </w:r>
      <w:r>
        <w:rPr>
          <w:rFonts w:hint="eastAsia" w:ascii="微软雅黑" w:hAnsi="微软雅黑" w:eastAsia="微软雅黑" w:cs="微软雅黑"/>
          <w:sz w:val="28"/>
          <w:szCs w:val="28"/>
        </w:rPr>
        <w:t>出，第一根阴线最多只是洗盘，满足下列条件就可以大胆买入。</w:t>
      </w:r>
    </w:p>
    <w:p>
      <w:pPr>
        <w:ind w:firstLine="426" w:firstLineChars="152"/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第一，人气股，有连板属性，或者独立行情的连板个股；</w:t>
      </w:r>
    </w:p>
    <w:p>
      <w:pPr>
        <w:ind w:firstLine="426" w:firstLineChars="152"/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第二，盘子要小，股性要活；</w:t>
      </w:r>
    </w:p>
    <w:p>
      <w:pPr>
        <w:ind w:firstLine="426" w:firstLineChars="152"/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第三，人气股或者板块效应连板股的反抽，需要看板块持续性氛围；</w:t>
      </w:r>
    </w:p>
    <w:p>
      <w:pPr>
        <w:ind w:firstLine="426" w:firstLineChars="152"/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第四，需要首阴之前是有涨停效应的人气股；</w:t>
      </w:r>
    </w:p>
    <w:p>
      <w:pPr>
        <w:ind w:firstLine="426" w:firstLineChars="15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第五，首阴当天需要适当放量；</w:t>
      </w:r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下面几个案例大家感受一下：</w:t>
      </w:r>
    </w:p>
    <w:p>
      <w:pPr>
        <w:ind w:firstLine="426" w:firstLineChars="15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1.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eastAsia="zh-CN"/>
        </w:rPr>
        <w:t>中信建投</w:t>
      </w:r>
      <w:r>
        <w:rPr>
          <w:rFonts w:hint="eastAsia" w:ascii="微软雅黑" w:hAnsi="微软雅黑" w:eastAsia="微软雅黑" w:cs="微软雅黑"/>
          <w:sz w:val="28"/>
          <w:szCs w:val="28"/>
        </w:rPr>
        <w:t>，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sz w:val="28"/>
          <w:szCs w:val="28"/>
        </w:rPr>
        <w:t>月28日出现第一根阴线。</w:t>
      </w:r>
    </w:p>
    <w:p>
      <w:pPr>
        <w:ind w:firstLine="319" w:firstLineChars="152"/>
        <w:jc w:val="center"/>
        <w:rPr>
          <w:rFonts w:hint="eastAsia" w:ascii="微软雅黑" w:hAnsi="微软雅黑" w:eastAsia="微软雅黑" w:cs="微软雅黑"/>
          <w:sz w:val="28"/>
          <w:szCs w:val="28"/>
        </w:rPr>
      </w:pPr>
      <w:r>
        <w:drawing>
          <wp:inline distT="0" distB="0" distL="114300" distR="114300">
            <wp:extent cx="4900930" cy="2667635"/>
            <wp:effectExtent l="0" t="0" r="13970" b="184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6" w:firstLineChars="15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sz w:val="28"/>
          <w:szCs w:val="28"/>
        </w:rPr>
        <w:t>2.</w:t>
      </w:r>
      <w:r>
        <w:rPr>
          <w:rFonts w:hint="eastAsia" w:ascii="微软雅黑" w:hAnsi="微软雅黑" w:eastAsia="微软雅黑" w:cs="微软雅黑"/>
          <w:b/>
          <w:sz w:val="28"/>
          <w:szCs w:val="28"/>
          <w:lang w:eastAsia="zh-CN"/>
        </w:rPr>
        <w:t>中国人保</w:t>
      </w:r>
      <w:r>
        <w:rPr>
          <w:rFonts w:hint="eastAsia" w:ascii="微软雅黑" w:hAnsi="微软雅黑" w:eastAsia="微软雅黑" w:cs="微软雅黑"/>
          <w:sz w:val="28"/>
          <w:szCs w:val="28"/>
        </w:rPr>
        <w:t>，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sz w:val="28"/>
          <w:szCs w:val="28"/>
        </w:rPr>
        <w:t>月2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8</w:t>
      </w:r>
      <w:r>
        <w:rPr>
          <w:rFonts w:hint="eastAsia" w:ascii="微软雅黑" w:hAnsi="微软雅黑" w:eastAsia="微软雅黑" w:cs="微软雅黑"/>
          <w:sz w:val="28"/>
          <w:szCs w:val="28"/>
        </w:rPr>
        <w:t>日出现第一根阴线。</w:t>
      </w:r>
    </w:p>
    <w:p>
      <w:pPr>
        <w:ind w:firstLine="319" w:firstLineChars="152"/>
        <w:jc w:val="center"/>
        <w:rPr>
          <w:rFonts w:hint="eastAsia" w:ascii="微软雅黑" w:hAnsi="微软雅黑" w:eastAsia="微软雅黑" w:cs="微软雅黑"/>
          <w:sz w:val="28"/>
          <w:szCs w:val="28"/>
        </w:rPr>
      </w:pPr>
      <w:r>
        <w:drawing>
          <wp:inline distT="0" distB="0" distL="114300" distR="114300">
            <wp:extent cx="5010785" cy="2639695"/>
            <wp:effectExtent l="0" t="0" r="18415" b="825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5" w:firstLineChars="152"/>
        <w:jc w:val="center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jc w:val="center"/>
        <w:outlineLvl w:val="0"/>
        <w:rPr>
          <w:rFonts w:hint="eastAsia" w:ascii="微软雅黑" w:hAnsi="微软雅黑" w:eastAsia="微软雅黑" w:cs="微软雅黑"/>
          <w:b/>
          <w:sz w:val="36"/>
          <w:szCs w:val="36"/>
        </w:rPr>
      </w:pPr>
      <w:bookmarkStart w:id="5" w:name="_Toc16043"/>
      <w:r>
        <w:rPr>
          <w:rFonts w:hint="eastAsia" w:ascii="微软雅黑" w:hAnsi="微软雅黑" w:eastAsia="微软雅黑" w:cs="微软雅黑"/>
          <w:b/>
          <w:sz w:val="36"/>
          <w:szCs w:val="36"/>
        </w:rPr>
        <w:t>核心二：烂而不弱，再涨一波</w:t>
      </w:r>
      <w:bookmarkEnd w:id="5"/>
    </w:p>
    <w:p>
      <w:pPr>
        <w:jc w:val="center"/>
        <w:outlineLvl w:val="0"/>
        <w:rPr>
          <w:rFonts w:hint="eastAsia" w:ascii="微软雅黑" w:hAnsi="微软雅黑" w:eastAsia="微软雅黑" w:cs="微软雅黑"/>
          <w:b/>
          <w:sz w:val="36"/>
          <w:szCs w:val="36"/>
        </w:rPr>
      </w:pPr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大妖出自迷茫，龙头来自烂板。</w:t>
      </w:r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首先，要明白为什么会出现烂板。烂的原因不是无力封板，而是无心封板，两者有本质的区别。因为每次上涨停板后又反复开板封板，意志不坚定的散户心理上会保守折磨。</w:t>
      </w:r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更重要的是，烂板的出现一般有两个目的：</w:t>
      </w:r>
    </w:p>
    <w:p>
      <w:pPr>
        <w:ind w:firstLine="426" w:firstLineChars="15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1、烂板吸筹。</w:t>
      </w:r>
      <w:r>
        <w:rPr>
          <w:rFonts w:hint="eastAsia" w:ascii="微软雅黑" w:hAnsi="微软雅黑" w:eastAsia="微软雅黑" w:cs="微软雅黑"/>
          <w:sz w:val="28"/>
          <w:szCs w:val="28"/>
        </w:rPr>
        <w:t>主力为了在成交密集区域快速获得筹码，不断开板吓出恐慌筹码，目的就是快速吸筹，这种极端的获取筹码的方式，注定后期暴力哥的妖股基因；</w:t>
      </w:r>
    </w:p>
    <w:p>
      <w:pPr>
        <w:ind w:firstLine="426" w:firstLineChars="15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2、烂板洗盘。</w:t>
      </w:r>
      <w:r>
        <w:rPr>
          <w:rFonts w:hint="eastAsia" w:ascii="微软雅黑" w:hAnsi="微软雅黑" w:eastAsia="微软雅黑" w:cs="微软雅黑"/>
          <w:sz w:val="28"/>
          <w:szCs w:val="28"/>
        </w:rPr>
        <w:t>股价在多头趋势中，需要加速突破关键点位的时候，主力通过不断开板的方式抖落浮动筹码，进行洗盘</w:t>
      </w:r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该跌不跌，理应看涨</w:t>
      </w:r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烂板，意味着市场对该股的分歧很大，分歧之后，要么上天堂，要么下地狱，一切，等第二天揭晓，第二天走势无非三种情况：</w:t>
      </w:r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1. 跳空高开；</w:t>
      </w:r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2. 低开高走，迅速拉起；</w:t>
      </w:r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3. 低开低走；</w:t>
      </w:r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显然，第一种方式，即跳空高开最为强势，可以直接参与；第二种方式，低开高走，迅速拉起的，在股价翻红站稳烂板当日涨停板价格之后，确认升势，可以参与；第三种方式，低开低走，可能是主力试盘之后觉得抛压还是太大，要么放弃不做了，就选择慢慢出货，那么就不参与了，要么继续再洗盘一两天，等再次站上烂板当天涨停板价格之后再参与。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下面几个案例大家感受一下：</w:t>
      </w:r>
    </w:p>
    <w:p>
      <w:pPr>
        <w:ind w:firstLine="426" w:firstLineChars="15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sz w:val="28"/>
          <w:szCs w:val="28"/>
        </w:rPr>
        <w:t>1、</w:t>
      </w:r>
      <w:r>
        <w:rPr>
          <w:rFonts w:hint="eastAsia" w:ascii="微软雅黑" w:hAnsi="微软雅黑" w:eastAsia="微软雅黑" w:cs="微软雅黑"/>
          <w:b/>
          <w:sz w:val="28"/>
          <w:szCs w:val="28"/>
          <w:lang w:eastAsia="zh-CN"/>
        </w:rPr>
        <w:t>东方通信</w:t>
      </w:r>
      <w:r>
        <w:rPr>
          <w:rFonts w:hint="eastAsia" w:ascii="微软雅黑" w:hAnsi="微软雅黑" w:eastAsia="微软雅黑" w:cs="微软雅黑"/>
          <w:sz w:val="28"/>
          <w:szCs w:val="28"/>
        </w:rPr>
        <w:t>，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sz w:val="28"/>
          <w:szCs w:val="28"/>
        </w:rPr>
        <w:t>月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sz w:val="28"/>
          <w:szCs w:val="28"/>
        </w:rPr>
        <w:t>2日出现烂板。</w:t>
      </w:r>
    </w:p>
    <w:p>
      <w:pPr>
        <w:ind w:firstLine="319" w:firstLineChars="152"/>
        <w:jc w:val="center"/>
        <w:rPr>
          <w:rFonts w:hint="eastAsia" w:ascii="微软雅黑" w:hAnsi="微软雅黑" w:eastAsia="微软雅黑" w:cs="微软雅黑"/>
          <w:sz w:val="28"/>
          <w:szCs w:val="28"/>
        </w:rPr>
      </w:pPr>
      <w:r>
        <w:drawing>
          <wp:inline distT="0" distB="0" distL="114300" distR="114300">
            <wp:extent cx="4183380" cy="2711450"/>
            <wp:effectExtent l="0" t="0" r="7620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ind w:firstLine="426" w:firstLineChars="15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sz w:val="28"/>
          <w:szCs w:val="28"/>
        </w:rPr>
        <w:t>2、顺灏股份</w:t>
      </w:r>
      <w:r>
        <w:rPr>
          <w:rFonts w:hint="eastAsia" w:ascii="微软雅黑" w:hAnsi="微软雅黑" w:eastAsia="微软雅黑" w:cs="微软雅黑"/>
          <w:sz w:val="28"/>
          <w:szCs w:val="28"/>
        </w:rPr>
        <w:t>，3月2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sz w:val="28"/>
          <w:szCs w:val="28"/>
        </w:rPr>
        <w:t>日出现烂板。</w:t>
      </w:r>
    </w:p>
    <w:p>
      <w:pPr>
        <w:snapToGrid w:val="0"/>
        <w:spacing w:before="312" w:beforeLines="100" w:after="312" w:afterLines="100"/>
        <w:jc w:val="center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4092575" cy="2741930"/>
            <wp:effectExtent l="0" t="0" r="3175" b="127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312" w:beforeLines="100" w:after="312" w:afterLines="100"/>
        <w:rPr>
          <w:rFonts w:hint="eastAsia" w:ascii="微软雅黑" w:hAnsi="微软雅黑" w:eastAsia="微软雅黑" w:cs="微软雅黑"/>
        </w:rPr>
      </w:pPr>
    </w:p>
    <w:p>
      <w:pPr>
        <w:snapToGrid w:val="0"/>
        <w:spacing w:before="312" w:beforeLines="100" w:after="312" w:afterLines="100"/>
        <w:jc w:val="center"/>
        <w:outlineLvl w:val="0"/>
        <w:rPr>
          <w:rFonts w:hint="eastAsia" w:ascii="微软雅黑" w:hAnsi="微软雅黑" w:eastAsia="微软雅黑" w:cs="微软雅黑"/>
          <w:b/>
          <w:sz w:val="36"/>
          <w:szCs w:val="36"/>
        </w:rPr>
      </w:pPr>
      <w:bookmarkStart w:id="6" w:name="_Toc25708"/>
      <w:r>
        <w:rPr>
          <w:rFonts w:hint="eastAsia" w:ascii="微软雅黑" w:hAnsi="微软雅黑" w:eastAsia="微软雅黑" w:cs="微软雅黑"/>
          <w:b/>
          <w:sz w:val="36"/>
          <w:szCs w:val="36"/>
        </w:rPr>
        <w:t>核心三：</w:t>
      </w:r>
      <w:bookmarkStart w:id="7" w:name="OLE_LINK1"/>
      <w:r>
        <w:rPr>
          <w:rFonts w:hint="eastAsia" w:ascii="微软雅黑" w:hAnsi="微软雅黑" w:eastAsia="微软雅黑" w:cs="微软雅黑"/>
          <w:b/>
          <w:sz w:val="36"/>
          <w:szCs w:val="36"/>
        </w:rPr>
        <w:t>三板成妖</w:t>
      </w:r>
      <w:bookmarkEnd w:id="7"/>
      <w:r>
        <w:rPr>
          <w:rFonts w:hint="eastAsia" w:ascii="微软雅黑" w:hAnsi="微软雅黑" w:eastAsia="微软雅黑" w:cs="微软雅黑"/>
          <w:b/>
          <w:sz w:val="36"/>
          <w:szCs w:val="36"/>
        </w:rPr>
        <w:t>，板块效应</w:t>
      </w:r>
      <w:bookmarkEnd w:id="6"/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游资界，有个不成文的规定，那便是：三板成妖，有板块效应，有三必有五，有五必有七。意思是强势的股票连续走出三个涨停板后，便能封妖，能形成板块上攻的效应，而接下来还会出现</w:t>
      </w:r>
      <w:bookmarkStart w:id="8" w:name="OLE_LINK2"/>
      <w:r>
        <w:rPr>
          <w:rFonts w:hint="eastAsia" w:ascii="微软雅黑" w:hAnsi="微软雅黑" w:eastAsia="微软雅黑" w:cs="微软雅黑"/>
          <w:sz w:val="28"/>
          <w:szCs w:val="28"/>
        </w:rPr>
        <w:t>五个涨停板</w:t>
      </w:r>
      <w:bookmarkEnd w:id="8"/>
      <w:r>
        <w:rPr>
          <w:rFonts w:hint="eastAsia" w:ascii="微软雅黑" w:hAnsi="微软雅黑" w:eastAsia="微软雅黑" w:cs="微软雅黑"/>
          <w:sz w:val="28"/>
          <w:szCs w:val="28"/>
        </w:rPr>
        <w:t>,七个涨停板，强势的股票，会强者恒强！</w:t>
      </w:r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下面几个案例大家感受一下：</w:t>
      </w:r>
    </w:p>
    <w:p>
      <w:pPr>
        <w:numPr>
          <w:ilvl w:val="0"/>
          <w:numId w:val="1"/>
        </w:numPr>
        <w:ind w:firstLine="425" w:firstLineChars="152"/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顺灏股份，</w:t>
      </w:r>
      <w:r>
        <w:rPr>
          <w:rFonts w:hint="default" w:ascii="微软雅黑" w:hAnsi="微软雅黑" w:eastAsia="微软雅黑" w:cs="微软雅黑"/>
          <w:sz w:val="28"/>
          <w:szCs w:val="28"/>
          <w:lang w:eastAsia="zh-CN"/>
        </w:rPr>
        <w:t>全资子公司云南绿新取得加工大麻花叶项目申请批复，并收到工业大麻种植许可证</w:t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。随后工业大麻开始炒作，先后拉动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kern w:val="2"/>
          <w:sz w:val="28"/>
          <w:szCs w:val="28"/>
          <w:lang w:val="en-US" w:eastAsia="zh-CN" w:bidi="ar-SA"/>
        </w:rPr>
        <w:t>龙津药业、诚志股份、紫鑫药业等。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jc w:val="center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4672965" cy="2682875"/>
            <wp:effectExtent l="0" t="0" r="13335" b="317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296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在</w:t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顺灏股份</w:t>
      </w:r>
      <w:r>
        <w:rPr>
          <w:rFonts w:hint="eastAsia" w:ascii="微软雅黑" w:hAnsi="微软雅黑" w:eastAsia="微软雅黑" w:cs="微软雅黑"/>
          <w:sz w:val="28"/>
          <w:szCs w:val="28"/>
        </w:rPr>
        <w:t>的带动下，</w:t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工业大麻概念迎来全面炒作阶段</w:t>
      </w:r>
      <w:r>
        <w:rPr>
          <w:rFonts w:hint="eastAsia" w:ascii="微软雅黑" w:hAnsi="微软雅黑" w:eastAsia="微软雅黑" w:cs="微软雅黑"/>
          <w:sz w:val="28"/>
          <w:szCs w:val="28"/>
        </w:rPr>
        <w:t>。</w:t>
      </w:r>
    </w:p>
    <w:p>
      <w:pPr>
        <w:snapToGrid w:val="0"/>
        <w:spacing w:before="312" w:beforeLines="100" w:after="312" w:afterLines="100"/>
        <w:jc w:val="center"/>
        <w:outlineLvl w:val="0"/>
      </w:pPr>
      <w:r>
        <w:drawing>
          <wp:inline distT="0" distB="0" distL="114300" distR="114300">
            <wp:extent cx="4834890" cy="2889885"/>
            <wp:effectExtent l="0" t="0" r="3810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before="312" w:beforeLines="100" w:after="312" w:afterLines="100"/>
        <w:jc w:val="center"/>
        <w:outlineLvl w:val="0"/>
      </w:pPr>
    </w:p>
    <w:p>
      <w:pPr>
        <w:snapToGrid w:val="0"/>
        <w:spacing w:before="312" w:beforeLines="100" w:after="312" w:afterLines="100"/>
        <w:jc w:val="center"/>
        <w:outlineLvl w:val="0"/>
        <w:rPr>
          <w:rFonts w:hint="eastAsia"/>
        </w:rPr>
      </w:pPr>
    </w:p>
    <w:p>
      <w:pPr>
        <w:snapToGrid w:val="0"/>
        <w:spacing w:before="312" w:beforeLines="100" w:after="312" w:afterLines="100"/>
        <w:jc w:val="center"/>
        <w:outlineLvl w:val="0"/>
        <w:rPr>
          <w:rFonts w:hint="eastAsia" w:ascii="微软雅黑" w:hAnsi="微软雅黑" w:eastAsia="微软雅黑" w:cs="微软雅黑"/>
          <w:b/>
          <w:sz w:val="36"/>
          <w:szCs w:val="36"/>
        </w:rPr>
      </w:pPr>
    </w:p>
    <w:p>
      <w:pPr>
        <w:snapToGrid w:val="0"/>
        <w:spacing w:before="312" w:beforeLines="100" w:after="312" w:afterLines="100"/>
        <w:jc w:val="both"/>
        <w:outlineLvl w:val="0"/>
        <w:rPr>
          <w:rFonts w:hint="eastAsia" w:ascii="微软雅黑" w:hAnsi="微软雅黑" w:eastAsia="微软雅黑" w:cs="微软雅黑"/>
          <w:b/>
          <w:sz w:val="36"/>
          <w:szCs w:val="36"/>
        </w:rPr>
      </w:pPr>
    </w:p>
    <w:p>
      <w:pPr>
        <w:jc w:val="center"/>
        <w:outlineLvl w:val="0"/>
        <w:rPr>
          <w:rFonts w:hint="eastAsia" w:ascii="微软雅黑" w:hAnsi="微软雅黑" w:eastAsia="微软雅黑" w:cs="微软雅黑"/>
          <w:b/>
          <w:sz w:val="36"/>
          <w:szCs w:val="36"/>
        </w:rPr>
      </w:pPr>
      <w:bookmarkStart w:id="9" w:name="_Toc11925"/>
      <w:r>
        <w:rPr>
          <w:rFonts w:hint="eastAsia" w:ascii="微软雅黑" w:hAnsi="微软雅黑" w:eastAsia="微软雅黑" w:cs="微软雅黑"/>
          <w:b/>
          <w:sz w:val="36"/>
          <w:szCs w:val="36"/>
        </w:rPr>
        <w:t>核心四：妖股以双头结束</w:t>
      </w:r>
      <w:bookmarkEnd w:id="9"/>
    </w:p>
    <w:p>
      <w:pPr>
        <w:jc w:val="center"/>
        <w:outlineLvl w:val="0"/>
        <w:rPr>
          <w:rFonts w:hint="eastAsia" w:ascii="微软雅黑" w:hAnsi="微软雅黑" w:eastAsia="微软雅黑" w:cs="微软雅黑"/>
          <w:b/>
          <w:sz w:val="36"/>
          <w:szCs w:val="36"/>
        </w:rPr>
      </w:pPr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大妖是游资点火，资金接力所形成的合力。既然是合力就不会在短时间突然消失，所以往往妖股并不是以尖顶结束，通常都会构筑双头。</w:t>
      </w:r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也就是说妖股第一波调整结束后，仍然可以介入，满足下列条件可以大胆买入：</w:t>
      </w:r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探底后迅速拉起</w:t>
      </w:r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股价处于相对低位</w:t>
      </w:r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几个案例大家感受一下：</w:t>
      </w:r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1、近几年最典型的妖王特力A，探底后快速拉起，股价仍能翻倍。</w:t>
      </w:r>
    </w:p>
    <w:p>
      <w:pPr>
        <w:ind w:firstLine="425" w:firstLineChars="152"/>
        <w:jc w:val="center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662805" cy="2450465"/>
            <wp:effectExtent l="0" t="0" r="4445" b="6985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2450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5" w:firstLineChars="152"/>
        <w:jc w:val="center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ind w:firstLine="425" w:firstLineChars="152"/>
        <w:jc w:val="center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ind w:firstLine="425" w:firstLineChars="152"/>
        <w:jc w:val="center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sz w:val="28"/>
          <w:szCs w:val="28"/>
        </w:rPr>
        <w:t>、贵州燃气股价探到整理平台后快速反弹。</w:t>
      </w:r>
    </w:p>
    <w:p>
      <w:pPr>
        <w:ind w:firstLine="425" w:firstLineChars="152"/>
        <w:jc w:val="center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624705" cy="2461895"/>
            <wp:effectExtent l="0" t="0" r="4445" b="14605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2461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5" w:firstLineChars="152"/>
        <w:jc w:val="center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相信近期有来直播间的股友都有领到独孤战法的战法体系，而《妖股战法》属于高阶战法体系，也</w:t>
      </w:r>
      <w:r>
        <w:rPr>
          <w:rFonts w:hint="eastAsia" w:ascii="微软雅黑" w:hAnsi="微软雅黑" w:eastAsia="微软雅黑" w:cs="微软雅黑"/>
          <w:sz w:val="28"/>
          <w:szCs w:val="28"/>
        </w:rPr>
        <w:t>是</w:t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黄老师多年</w:t>
      </w:r>
      <w:r>
        <w:rPr>
          <w:rFonts w:hint="eastAsia" w:ascii="微软雅黑" w:hAnsi="微软雅黑" w:eastAsia="微软雅黑" w:cs="微软雅黑"/>
          <w:sz w:val="28"/>
          <w:szCs w:val="28"/>
        </w:rPr>
        <w:t>呕心沥血总结出来</w:t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的精研</w:t>
      </w:r>
      <w:r>
        <w:rPr>
          <w:rFonts w:hint="eastAsia" w:ascii="微软雅黑" w:hAnsi="微软雅黑" w:eastAsia="微软雅黑" w:cs="微软雅黑"/>
          <w:sz w:val="28"/>
          <w:szCs w:val="28"/>
        </w:rPr>
        <w:t>，</w:t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属于黄老师镇山</w:t>
      </w:r>
      <w:r>
        <w:rPr>
          <w:rFonts w:hint="eastAsia" w:ascii="微软雅黑" w:hAnsi="微软雅黑" w:eastAsia="微软雅黑" w:cs="微软雅黑"/>
          <w:sz w:val="28"/>
          <w:szCs w:val="28"/>
        </w:rPr>
        <w:t>之宝，千金难买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。《妖股战法》引导如何捕抓有成妖属性的机会。希望股友们可以结合其他招式深化学习使用，发挥最大效力</w:t>
      </w:r>
      <w:r>
        <w:rPr>
          <w:rFonts w:hint="eastAsia" w:ascii="微软雅黑" w:hAnsi="微软雅黑" w:eastAsia="微软雅黑" w:cs="微软雅黑"/>
          <w:sz w:val="28"/>
          <w:szCs w:val="28"/>
        </w:rPr>
        <w:t>！</w:t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最后学有所成，有所建树，</w:t>
      </w:r>
      <w:r>
        <w:rPr>
          <w:rFonts w:hint="eastAsia" w:ascii="微软雅黑" w:hAnsi="微软雅黑" w:eastAsia="微软雅黑" w:cs="微软雅黑"/>
          <w:sz w:val="28"/>
          <w:szCs w:val="28"/>
        </w:rPr>
        <w:t>实现我们的目标</w:t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——</w:t>
      </w:r>
      <w:r>
        <w:rPr>
          <w:rFonts w:hint="eastAsia" w:ascii="微软雅黑" w:hAnsi="微软雅黑" w:eastAsia="微软雅黑" w:cs="微软雅黑"/>
          <w:sz w:val="28"/>
          <w:szCs w:val="28"/>
        </w:rPr>
        <w:t>财务自由</w:t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，人人做老板！</w:t>
      </w:r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</w:p>
    <w:p>
      <w:pPr>
        <w:ind w:firstLine="425" w:firstLineChars="152"/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微软雅黑" w:hAnsi="微软雅黑" w:eastAsia="微软雅黑" w:cs="微软雅黑"/>
          <w:b/>
          <w:bCs/>
          <w:i w:val="0"/>
          <w:caps w:val="0"/>
          <w:color w:val="FF0000"/>
          <w:spacing w:val="0"/>
          <w:sz w:val="32"/>
          <w:szCs w:val="32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FF0000"/>
          <w:spacing w:val="0"/>
          <w:sz w:val="32"/>
          <w:szCs w:val="32"/>
          <w:highlight w:val="none"/>
          <w:lang w:val="en-US" w:eastAsia="zh-CN"/>
        </w:rPr>
        <w:t>长线八倍大牛股——871081东亚股份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微软雅黑" w:hAnsi="微软雅黑" w:eastAsia="微软雅黑" w:cs="微软雅黑"/>
          <w:b/>
          <w:bCs/>
          <w:i w:val="0"/>
          <w:caps w:val="0"/>
          <w:color w:val="FF0000"/>
          <w:spacing w:val="0"/>
          <w:sz w:val="32"/>
          <w:szCs w:val="32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drawing>
          <wp:anchor distT="0" distB="0" distL="114935" distR="114935" simplePos="0" relativeHeight="251661312" behindDoc="0" locked="0" layoutInCell="1" allowOverlap="1">
            <wp:simplePos x="0" y="0"/>
            <wp:positionH relativeFrom="column">
              <wp:posOffset>-78740</wp:posOffset>
            </wp:positionH>
            <wp:positionV relativeFrom="paragraph">
              <wp:posOffset>255905</wp:posOffset>
            </wp:positionV>
            <wp:extent cx="5470525" cy="3074035"/>
            <wp:effectExtent l="0" t="0" r="15875" b="12065"/>
            <wp:wrapTopAndBottom/>
            <wp:docPr id="29" name="图片 29" descr="公司大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公司大门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05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微软雅黑" w:hAnsi="微软雅黑" w:eastAsia="微软雅黑" w:cs="微软雅黑"/>
          <w:b/>
          <w:bCs/>
          <w:color w:val="FF0000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8"/>
          <w:szCs w:val="28"/>
          <w:lang w:val="en-US" w:eastAsia="zh-CN" w:bidi="ar-SA"/>
        </w:rPr>
        <w:t>由于这次的长线股布局，黄老师和股道都是非常看好的，这个企业是黄老师和股道目前见过最有潜力的企业之一。但是由于份额有限，只能给到部分符合条件的忠实粉丝，请广大粉丝们见谅。争取到份额的朋友们也要珍惜好这次机会！由于本次新三板长线股票【871081东亚股份】的认购异常火爆，上周仅几天时间第一批所有对外发放的部分份额就被全部抢购一空。高新技术的优秀企业，登陆科创板、转板上市目标非常明确。一旦布局成功坐等上市，收益将在6-8倍以上。希望通过审核的股友，要把握好机会，因为这机会一生之中可能也难遇一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微软雅黑" w:hAnsi="微软雅黑" w:eastAsia="微软雅黑" w:cs="微软雅黑"/>
          <w:b/>
          <w:bCs/>
          <w:color w:val="FF0000"/>
          <w:kern w:val="2"/>
          <w:sz w:val="28"/>
          <w:szCs w:val="28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微软雅黑" w:hAnsi="微软雅黑" w:eastAsia="微软雅黑" w:cs="微软雅黑"/>
          <w:b/>
          <w:bCs/>
          <w:color w:val="1E1E1E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1E1E1E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自春节回归以来，市场一直处于大涨，我们的操作盈利汇总更是持续攀升，这种实力服不服众？纵观整个市场谁能做到：每只票都是盘中公开现价提示操作买卖，没有任何马后炮，每只票的操作非常明确清晰，买就是买，卖就是卖，每天分仓操作的个股数量也精益求精，不搞广撒网！胜率保持在做10只赚9只亏1只，真正带着大家做到了大赚小赔，长期稳定盈利，这样的实力全网找不出第二家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微软雅黑" w:hAnsi="微软雅黑" w:eastAsia="微软雅黑" w:cs="微软雅黑"/>
          <w:b/>
          <w:bCs/>
          <w:color w:val="1E1E1E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1E1E1E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如果你从春节后，所有的资金仓位都按照黄某的指导在操作，那么总盈利会十分可观！有的朋友私下告诉我，近期跟着黄某操作都赚了几万的、几十万、上百万的都有，这就是实实在在的收益，并且还能在操作中学到实战技术！根据黄老师的操作节奏走，能带大家在弱势行情中减少亏损，能带大家在赚钱行情中赚到最大的利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微软雅黑" w:hAnsi="微软雅黑" w:eastAsia="微软雅黑" w:cs="微软雅黑"/>
          <w:b/>
          <w:bCs/>
          <w:color w:val="1E1E1E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1E1E1E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老粉丝朋友其实还知道一个我的秘密，就是我有一支私家战队！里面的成员全部都是千挑万选、精英中的精英 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 w:ascii="微软雅黑" w:hAnsi="微软雅黑" w:eastAsia="微软雅黑" w:cs="微软雅黑"/>
          <w:b/>
          <w:bCs/>
          <w:color w:val="1E1E1E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1E1E1E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而根据现在的行情，可想而知，战队里面的收益那绝对比在普通群里的收益要更高、更稳。赚钱行情来的时候一个月就是翻倍的收益！里面的高手如云！第八届实战讲座的粉丝们，有谁想正式的加入我的私家战队？黄老师神秘私家战队即将开放招新！本周连续3天，每天晚上保持在直播室学习一个小时以上，截图给助理，即可获得报名资格！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bCs/>
          <w:i w:val="0"/>
          <w:caps w:val="0"/>
          <w:color w:val="FF0000"/>
          <w:spacing w:val="0"/>
          <w:sz w:val="24"/>
          <w:szCs w:val="24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bCs/>
          <w:i w:val="0"/>
          <w:caps w:val="0"/>
          <w:color w:val="FF0000"/>
          <w:spacing w:val="0"/>
          <w:sz w:val="24"/>
          <w:szCs w:val="24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bCs/>
          <w:i w:val="0"/>
          <w:caps w:val="0"/>
          <w:color w:val="FF0000"/>
          <w:spacing w:val="0"/>
          <w:sz w:val="24"/>
          <w:szCs w:val="24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bCs/>
          <w:i w:val="0"/>
          <w:caps w:val="0"/>
          <w:color w:val="FF0000"/>
          <w:spacing w:val="0"/>
          <w:sz w:val="24"/>
          <w:szCs w:val="24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bCs/>
          <w:i w:val="0"/>
          <w:caps w:val="0"/>
          <w:color w:val="FF0000"/>
          <w:spacing w:val="0"/>
          <w:sz w:val="24"/>
          <w:szCs w:val="24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bCs/>
          <w:i w:val="0"/>
          <w:caps w:val="0"/>
          <w:color w:val="FF0000"/>
          <w:spacing w:val="0"/>
          <w:sz w:val="24"/>
          <w:szCs w:val="24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微软雅黑" w:hAnsi="微软雅黑" w:eastAsia="微软雅黑" w:cs="微软雅黑"/>
          <w:b/>
          <w:bCs/>
          <w:color w:val="FF0000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FF0000"/>
          <w:spacing w:val="0"/>
          <w:sz w:val="32"/>
          <w:szCs w:val="32"/>
          <w:highlight w:val="none"/>
          <w:lang w:val="en-US" w:eastAsia="zh-CN"/>
        </w:rPr>
        <w:t>终极课程预告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微软雅黑" w:hAnsi="微软雅黑" w:eastAsia="微软雅黑" w:cs="微软雅黑"/>
          <w:b/>
          <w:bCs/>
          <w:color w:val="FF0000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8"/>
          <w:szCs w:val="28"/>
          <w:lang w:val="en-US" w:eastAsia="zh-CN" w:bidi="ar-SA"/>
        </w:rPr>
        <w:t>股市风云变幻，能上所谓“龙虎榜”的股票，往往是当日最抢眼的英豪。在股市里，机构与散户最大的区别就是资金与信息之间的不对称。“龙虎榜”揭示的就是当日个股的“交易公开信息”，这也是股民朋友得知市场热点个股的最佳途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="微软雅黑" w:hAnsi="微软雅黑" w:eastAsia="微软雅黑" w:cs="微软雅黑"/>
          <w:b/>
          <w:bCs/>
          <w:color w:val="FF0000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8"/>
          <w:szCs w:val="28"/>
          <w:lang w:val="en-US" w:eastAsia="zh-CN" w:bidi="ar-SA"/>
        </w:rPr>
        <w:t>“天下武功，唯快不破”由于“龙虎榜”是反应当日或是近期个股的活跃情况，那么就说明这些个股在是有潜在爆发力的，有资金关注的。股民朋友便可以紧追“龙虎榜”的脚步，来进行快速的切入热点股票。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2" w:beforeLines="100"/>
        <w:ind w:firstLine="560" w:firstLineChars="200"/>
        <w:jc w:val="both"/>
        <w:textAlignment w:val="auto"/>
        <w:outlineLvl w:val="0"/>
        <w:rPr>
          <w:rFonts w:hint="eastAsia" w:ascii="微软雅黑" w:hAnsi="微软雅黑" w:eastAsia="微软雅黑" w:cs="微软雅黑"/>
          <w:b/>
          <w:bCs/>
          <w:color w:val="FF0000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8"/>
          <w:szCs w:val="28"/>
          <w:lang w:val="en-US" w:eastAsia="zh-CN" w:bidi="ar-SA"/>
        </w:rPr>
        <w:t>本周周三和周四晚上黄老师将为大家重磅带来独孤战法最后一剑《龙虎榜战法》。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2" w:beforeLines="100"/>
        <w:ind w:firstLine="560" w:firstLineChars="200"/>
        <w:jc w:val="both"/>
        <w:textAlignment w:val="auto"/>
        <w:outlineLvl w:val="0"/>
        <w:rPr>
          <w:rFonts w:hint="eastAsia" w:ascii="微软雅黑" w:hAnsi="微软雅黑" w:eastAsia="微软雅黑" w:cs="微软雅黑"/>
          <w:b/>
          <w:bCs/>
          <w:color w:val="FF0000"/>
          <w:kern w:val="2"/>
          <w:sz w:val="28"/>
          <w:szCs w:val="28"/>
          <w:lang w:val="en-US" w:eastAsia="zh-CN" w:bidi="ar-SA"/>
        </w:rPr>
      </w:pPr>
    </w:p>
    <w:p>
      <w:pPr>
        <w:jc w:val="left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7030A0"/>
          <w:sz w:val="32"/>
          <w:szCs w:val="32"/>
          <w:lang w:val="en-US" w:eastAsia="zh-CN"/>
        </w:rPr>
        <w:t>精选短线超级牛股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：</w:t>
      </w:r>
      <w:r>
        <w:rPr>
          <w:rFonts w:hint="eastAsia" w:ascii="微软雅黑" w:hAnsi="微软雅黑" w:eastAsia="微软雅黑" w:cs="微软雅黑"/>
          <w:color w:val="1D41D5"/>
          <w:sz w:val="28"/>
          <w:szCs w:val="28"/>
          <w:lang w:val="en-US" w:eastAsia="zh-CN"/>
        </w:rPr>
        <w:t>000882华联股份，区块链+超低价+国改+横琴+互联网金融+独角兽，价格性感才3块钱，今天市场新挖掘出来的首板，极品尤物。明天盘中3个点以内可以放心参与，如果没有那么低的机会就根据盘中的承接力度进行高位接力，把握不了的可以分批轻仓进场，总之票是好票，但也要根据市场情况灵活把握，更多操作信息时刻留意群内消息和助理通知。</w:t>
      </w:r>
      <w:bookmarkStart w:id="10" w:name="_GoBack"/>
      <w:bookmarkEnd w:id="10"/>
    </w:p>
    <w:p>
      <w:pPr>
        <w:jc w:val="center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（更多相关信息可密切关注群消息和公众号nglm168最强牛股联盟）</w:t>
      </w:r>
    </w:p>
    <w:sectPr>
      <w:footerReference r:id="rId5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04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10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4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028" o:spid="_x0000_s1026" o:spt="202" type="#_x0000_t202" style="position:absolute;left:0pt;margin-top:0pt;height:144pt;width:144pt;mso-position-horizontal:right;mso-position-horizontal-relative:margin;mso-wrap-style:none;z-index:2048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zql5&#10;uc8AAAAFAQAADwAAAAAAAAABACAAAAAiAAAAZHJzL2Rvd25yZXYueG1sUEsBAhQAFAAAAAgAh07i&#10;QDz15EW5AQAAVwMAAA4AAAAAAAAAAQAgAAAAHgEAAGRycy9lMm9Eb2MueG1sUEsFBgAAAAAGAAYA&#10;WQEAAEk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307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10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4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029" o:spid="_x0000_s1026" o:spt="202" type="#_x0000_t202" style="position:absolute;left:0pt;margin-top:0pt;height:144pt;width:144pt;mso-position-horizontal:right;mso-position-horizontal-relative:margin;mso-wrap-style:none;z-index:3072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M6p&#10;ebnPAAAABQEAAA8AAAAAAAAAAQAgAAAAIgAAAGRycy9kb3ducmV2LnhtbFBLAQIUABQAAAAIAIdO&#10;4kD2kxA8ugEAAFcDAAAOAAAAAAAAAAEAIAAAAB4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single" w:color="auto" w:sz="4" w:space="1"/>
      </w:pBdr>
      <w:jc w:val="both"/>
      <w:rPr>
        <w:rFonts w:hint="eastAsia" w:eastAsia="楷体"/>
        <w:lang w:eastAsia="zh-CN"/>
      </w:rPr>
    </w:pPr>
    <w:r>
      <w:rPr>
        <w:rFonts w:hint="eastAsia" w:ascii="楷体" w:hAnsi="楷体" w:eastAsia="楷体" w:cs="楷体"/>
        <w:sz w:val="21"/>
        <w:szCs w:val="21"/>
        <w:lang w:eastAsia="zh-CN"/>
      </w:rPr>
      <w:t>独狐九剑战法——</w:t>
    </w:r>
    <w:r>
      <w:rPr>
        <w:rFonts w:hint="eastAsia" w:ascii="楷体" w:hAnsi="楷体" w:eastAsia="楷体" w:cs="楷体"/>
        <w:sz w:val="21"/>
        <w:szCs w:val="21"/>
      </w:rPr>
      <w:t>第</w:t>
    </w:r>
    <w:r>
      <w:rPr>
        <w:rFonts w:hint="eastAsia" w:ascii="楷体" w:hAnsi="楷体" w:eastAsia="楷体" w:cs="楷体"/>
        <w:sz w:val="21"/>
        <w:szCs w:val="21"/>
        <w:lang w:eastAsia="zh-CN"/>
      </w:rPr>
      <w:t>八剑</w:t>
    </w:r>
    <w:r>
      <w:rPr>
        <w:rFonts w:hint="eastAsia" w:ascii="楷体" w:hAnsi="楷体" w:eastAsia="楷体" w:cs="楷体"/>
        <w:sz w:val="21"/>
        <w:szCs w:val="21"/>
      </w:rPr>
      <w:t>：</w:t>
    </w:r>
    <w:r>
      <w:rPr>
        <w:rFonts w:hint="eastAsia" w:ascii="楷体" w:hAnsi="楷体" w:eastAsia="楷体" w:cs="楷体"/>
        <w:sz w:val="21"/>
        <w:szCs w:val="21"/>
        <w:lang w:eastAsia="zh-CN"/>
      </w:rPr>
      <w:t>妖股战法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D9184E7"/>
    <w:multiLevelType w:val="singleLevel"/>
    <w:tmpl w:val="AD9184E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,3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553B"/>
    <w:rsid w:val="00002235"/>
    <w:rsid w:val="00006A49"/>
    <w:rsid w:val="000219F7"/>
    <w:rsid w:val="00045CBD"/>
    <w:rsid w:val="00047EE1"/>
    <w:rsid w:val="00063714"/>
    <w:rsid w:val="00065768"/>
    <w:rsid w:val="000D055D"/>
    <w:rsid w:val="0011029A"/>
    <w:rsid w:val="00153307"/>
    <w:rsid w:val="00165204"/>
    <w:rsid w:val="001E1782"/>
    <w:rsid w:val="00235D93"/>
    <w:rsid w:val="00240778"/>
    <w:rsid w:val="00243BE4"/>
    <w:rsid w:val="00281D78"/>
    <w:rsid w:val="00303DA6"/>
    <w:rsid w:val="003204AB"/>
    <w:rsid w:val="0034760B"/>
    <w:rsid w:val="003527DE"/>
    <w:rsid w:val="003C2542"/>
    <w:rsid w:val="003C389D"/>
    <w:rsid w:val="00471790"/>
    <w:rsid w:val="00497643"/>
    <w:rsid w:val="00547FC1"/>
    <w:rsid w:val="0055185F"/>
    <w:rsid w:val="00567F5E"/>
    <w:rsid w:val="005F3AE5"/>
    <w:rsid w:val="005F4631"/>
    <w:rsid w:val="00605C65"/>
    <w:rsid w:val="0063343D"/>
    <w:rsid w:val="00680FD6"/>
    <w:rsid w:val="00695FFB"/>
    <w:rsid w:val="006C7B0E"/>
    <w:rsid w:val="0075467C"/>
    <w:rsid w:val="00772168"/>
    <w:rsid w:val="00793791"/>
    <w:rsid w:val="007F41BC"/>
    <w:rsid w:val="0080136C"/>
    <w:rsid w:val="008317DF"/>
    <w:rsid w:val="008B421F"/>
    <w:rsid w:val="008B5CC5"/>
    <w:rsid w:val="008C5E89"/>
    <w:rsid w:val="00930356"/>
    <w:rsid w:val="009503FC"/>
    <w:rsid w:val="009D104D"/>
    <w:rsid w:val="009D57E9"/>
    <w:rsid w:val="00A0681D"/>
    <w:rsid w:val="00A35B97"/>
    <w:rsid w:val="00A42B70"/>
    <w:rsid w:val="00A44A1E"/>
    <w:rsid w:val="00A73A1F"/>
    <w:rsid w:val="00AE2A40"/>
    <w:rsid w:val="00AF3344"/>
    <w:rsid w:val="00B135CE"/>
    <w:rsid w:val="00B57AD6"/>
    <w:rsid w:val="00B87319"/>
    <w:rsid w:val="00BC5D0D"/>
    <w:rsid w:val="00C27B05"/>
    <w:rsid w:val="00C7145F"/>
    <w:rsid w:val="00C8189A"/>
    <w:rsid w:val="00CB4483"/>
    <w:rsid w:val="00CE1FCA"/>
    <w:rsid w:val="00D2553B"/>
    <w:rsid w:val="00D374CE"/>
    <w:rsid w:val="00D52BAB"/>
    <w:rsid w:val="00E95C8C"/>
    <w:rsid w:val="00EB43B2"/>
    <w:rsid w:val="00F167BC"/>
    <w:rsid w:val="00F25B5A"/>
    <w:rsid w:val="00F54F3A"/>
    <w:rsid w:val="00F748A3"/>
    <w:rsid w:val="014A4652"/>
    <w:rsid w:val="02A34935"/>
    <w:rsid w:val="05390768"/>
    <w:rsid w:val="05513711"/>
    <w:rsid w:val="06371022"/>
    <w:rsid w:val="06B40660"/>
    <w:rsid w:val="076E2F45"/>
    <w:rsid w:val="086F0EF5"/>
    <w:rsid w:val="09952081"/>
    <w:rsid w:val="09960B55"/>
    <w:rsid w:val="09C924FE"/>
    <w:rsid w:val="0BC2035D"/>
    <w:rsid w:val="0BD10763"/>
    <w:rsid w:val="0CFC30EE"/>
    <w:rsid w:val="0E2F1FCC"/>
    <w:rsid w:val="0F24472B"/>
    <w:rsid w:val="11750B84"/>
    <w:rsid w:val="122E591C"/>
    <w:rsid w:val="12B266ED"/>
    <w:rsid w:val="13B90AAC"/>
    <w:rsid w:val="169C49AC"/>
    <w:rsid w:val="16C91409"/>
    <w:rsid w:val="17865E33"/>
    <w:rsid w:val="18FE5496"/>
    <w:rsid w:val="1CB95A3D"/>
    <w:rsid w:val="1D255D9F"/>
    <w:rsid w:val="1E3D7C2C"/>
    <w:rsid w:val="1F02725D"/>
    <w:rsid w:val="1FCA148A"/>
    <w:rsid w:val="210F76A3"/>
    <w:rsid w:val="212D1267"/>
    <w:rsid w:val="2196729B"/>
    <w:rsid w:val="23321662"/>
    <w:rsid w:val="23EF6135"/>
    <w:rsid w:val="24DA4CA5"/>
    <w:rsid w:val="25DC20ED"/>
    <w:rsid w:val="2645072B"/>
    <w:rsid w:val="26651D94"/>
    <w:rsid w:val="286C579F"/>
    <w:rsid w:val="28B46B48"/>
    <w:rsid w:val="296A0DB2"/>
    <w:rsid w:val="2C9C6B0E"/>
    <w:rsid w:val="2CB915D0"/>
    <w:rsid w:val="2CDB326A"/>
    <w:rsid w:val="2E110DE0"/>
    <w:rsid w:val="2E1210F3"/>
    <w:rsid w:val="2F5F10EC"/>
    <w:rsid w:val="2FD10536"/>
    <w:rsid w:val="32DE3163"/>
    <w:rsid w:val="33717E12"/>
    <w:rsid w:val="33852D4B"/>
    <w:rsid w:val="356846CF"/>
    <w:rsid w:val="36682C9B"/>
    <w:rsid w:val="369D1629"/>
    <w:rsid w:val="36F41A90"/>
    <w:rsid w:val="36F6536A"/>
    <w:rsid w:val="37786046"/>
    <w:rsid w:val="37F53D06"/>
    <w:rsid w:val="3865083A"/>
    <w:rsid w:val="3925755F"/>
    <w:rsid w:val="399F6C4A"/>
    <w:rsid w:val="39E92640"/>
    <w:rsid w:val="3A0E2BD7"/>
    <w:rsid w:val="3A6634B9"/>
    <w:rsid w:val="3B176175"/>
    <w:rsid w:val="3F551D20"/>
    <w:rsid w:val="40847463"/>
    <w:rsid w:val="41370BF7"/>
    <w:rsid w:val="43947D59"/>
    <w:rsid w:val="43AB4295"/>
    <w:rsid w:val="442D443E"/>
    <w:rsid w:val="45951129"/>
    <w:rsid w:val="465129F3"/>
    <w:rsid w:val="47A5738D"/>
    <w:rsid w:val="486B48B0"/>
    <w:rsid w:val="49683763"/>
    <w:rsid w:val="4BEA4AE5"/>
    <w:rsid w:val="4D621096"/>
    <w:rsid w:val="4E3767CC"/>
    <w:rsid w:val="50042508"/>
    <w:rsid w:val="511019D6"/>
    <w:rsid w:val="51DF66D3"/>
    <w:rsid w:val="53E47302"/>
    <w:rsid w:val="55E3417B"/>
    <w:rsid w:val="566078FB"/>
    <w:rsid w:val="567E59DB"/>
    <w:rsid w:val="59A244A2"/>
    <w:rsid w:val="59AA35C9"/>
    <w:rsid w:val="5C9B1733"/>
    <w:rsid w:val="5D846355"/>
    <w:rsid w:val="5F6402C8"/>
    <w:rsid w:val="602C6DD3"/>
    <w:rsid w:val="60844F19"/>
    <w:rsid w:val="610F58C5"/>
    <w:rsid w:val="612D277D"/>
    <w:rsid w:val="626018D6"/>
    <w:rsid w:val="627E4769"/>
    <w:rsid w:val="63677D24"/>
    <w:rsid w:val="63FD0367"/>
    <w:rsid w:val="649C6474"/>
    <w:rsid w:val="66256E50"/>
    <w:rsid w:val="66D95468"/>
    <w:rsid w:val="671224A6"/>
    <w:rsid w:val="675633CA"/>
    <w:rsid w:val="68810E5C"/>
    <w:rsid w:val="690E16FD"/>
    <w:rsid w:val="6A4E382A"/>
    <w:rsid w:val="6B32253C"/>
    <w:rsid w:val="6C1A2B29"/>
    <w:rsid w:val="6D6C7679"/>
    <w:rsid w:val="6D7C5228"/>
    <w:rsid w:val="6DE456DC"/>
    <w:rsid w:val="6ED86535"/>
    <w:rsid w:val="6F4172EB"/>
    <w:rsid w:val="6FEA5799"/>
    <w:rsid w:val="71401051"/>
    <w:rsid w:val="71834FE4"/>
    <w:rsid w:val="719C2413"/>
    <w:rsid w:val="719C4067"/>
    <w:rsid w:val="71BE1BD1"/>
    <w:rsid w:val="72B30265"/>
    <w:rsid w:val="73330B42"/>
    <w:rsid w:val="77346CB2"/>
    <w:rsid w:val="78CC31EE"/>
    <w:rsid w:val="79065562"/>
    <w:rsid w:val="7AAC4698"/>
    <w:rsid w:val="7E004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5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7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6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unhideWhenUsed/>
    <w:qFormat/>
    <w:uiPriority w:val="39"/>
    <w:pPr>
      <w:tabs>
        <w:tab w:val="right" w:leader="dot" w:pos="8296"/>
      </w:tabs>
    </w:pPr>
  </w:style>
  <w:style w:type="paragraph" w:styleId="7">
    <w:name w:val="toc 2"/>
    <w:basedOn w:val="1"/>
    <w:next w:val="1"/>
    <w:unhideWhenUsed/>
    <w:qFormat/>
    <w:uiPriority w:val="39"/>
    <w:pPr>
      <w:ind w:left="420" w:leftChars="200"/>
    </w:pPr>
  </w:style>
  <w:style w:type="paragraph" w:styleId="8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1">
    <w:name w:val="Strong"/>
    <w:basedOn w:val="10"/>
    <w:qFormat/>
    <w:uiPriority w:val="22"/>
    <w:rPr>
      <w:b/>
    </w:rPr>
  </w:style>
  <w:style w:type="character" w:styleId="12">
    <w:name w:val="Emphasis"/>
    <w:basedOn w:val="10"/>
    <w:qFormat/>
    <w:uiPriority w:val="20"/>
    <w:rPr>
      <w:i/>
    </w:rPr>
  </w:style>
  <w:style w:type="character" w:styleId="13">
    <w:name w:val="Hyperlink"/>
    <w:basedOn w:val="10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批注框文本 Char"/>
    <w:basedOn w:val="10"/>
    <w:link w:val="3"/>
    <w:semiHidden/>
    <w:qFormat/>
    <w:uiPriority w:val="99"/>
    <w:rPr>
      <w:sz w:val="18"/>
      <w:szCs w:val="18"/>
    </w:rPr>
  </w:style>
  <w:style w:type="character" w:customStyle="1" w:styleId="16">
    <w:name w:val="页眉 Char"/>
    <w:basedOn w:val="10"/>
    <w:link w:val="5"/>
    <w:semiHidden/>
    <w:qFormat/>
    <w:uiPriority w:val="99"/>
    <w:rPr>
      <w:sz w:val="18"/>
      <w:szCs w:val="18"/>
    </w:rPr>
  </w:style>
  <w:style w:type="character" w:customStyle="1" w:styleId="17">
    <w:name w:val="页脚 Char"/>
    <w:basedOn w:val="10"/>
    <w:link w:val="4"/>
    <w:semiHidden/>
    <w:qFormat/>
    <w:uiPriority w:val="99"/>
    <w:rPr>
      <w:sz w:val="18"/>
      <w:szCs w:val="18"/>
    </w:rPr>
  </w:style>
  <w:style w:type="character" w:customStyle="1" w:styleId="18">
    <w:name w:val="标题 1 Char"/>
    <w:basedOn w:val="10"/>
    <w:link w:val="2"/>
    <w:qFormat/>
    <w:uiPriority w:val="9"/>
    <w:rPr>
      <w:rFonts w:asciiTheme="minorHAnsi" w:hAnsiTheme="minorHAnsi" w:eastAsiaTheme="minorEastAsia" w:cstheme="minorBidi"/>
      <w:b/>
      <w:bCs/>
      <w:kern w:val="44"/>
      <w:sz w:val="44"/>
      <w:szCs w:val="44"/>
    </w:rPr>
  </w:style>
  <w:style w:type="paragraph" w:customStyle="1" w:styleId="19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0.jpe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1E1E1E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9300DC6-3422-453E-A933-2BBAE8CC296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</Pages>
  <Words>330</Words>
  <Characters>1882</Characters>
  <Lines>15</Lines>
  <Paragraphs>4</Paragraphs>
  <TotalTime>5</TotalTime>
  <ScaleCrop>false</ScaleCrop>
  <LinksUpToDate>false</LinksUpToDate>
  <CharactersWithSpaces>2208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2017-02-15T02:53:00Z</dcterms:created>
  <dc:creator>Windows 用户</dc:creator>
  <cp:lastModifiedBy>Administrator</cp:lastModifiedBy>
  <dcterms:modified xsi:type="dcterms:W3CDTF">2019-04-02T12:43:31Z</dcterms:modified>
  <cp:revision>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