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80"/>
      </w:pPr>
      <w:r>
        <w:rPr>
          <w:b/>
          <w:color w:val="1F4E79"/>
          <w:sz w:val="40"/>
        </w:rPr>
        <w:t>Executive Summary</w:t>
      </w:r>
    </w:p>
    <w:p>
      <w:r>
        <w:rPr>
          <w:b w:val="0"/>
          <w:i w:val="0"/>
          <w:strike w:val="0"/>
          <w:u w:val="none"/>
        </w:rPr>
        <w:t xml:space="preserve">This report outlines </w:t>
      </w:r>
      <w:r>
        <w:rPr>
          <w:b/>
          <w:i w:val="0"/>
          <w:strike w:val="0"/>
          <w:u w:val="none"/>
        </w:rPr>
        <w:t>key performance indicators</w:t>
      </w:r>
      <w:r>
        <w:rPr>
          <w:b w:val="0"/>
          <w:i w:val="0"/>
          <w:strike w:val="0"/>
          <w:u w:val="none"/>
        </w:rPr>
        <w:t xml:space="preserve"> for the second fiscal quarter.</w:t>
      </w:r>
    </w:p>
    <w:p>
      <w:pPr>
        <w:spacing w:before="120" w:after="120"/>
        <w:ind w:left="360" w:right="360"/>
      </w:pPr>
      <w:r>
        <w:rPr>
          <w:b w:val="0"/>
          <w:i/>
          <w:strike w:val="0"/>
          <w:u w:val="none"/>
        </w:rPr>
        <w:t>Notice: Projections are subject to quarterly audit.</w:t>
      </w:r>
    </w:p>
    <w:p>
      <w:pPr>
        <w:keepNext/>
        <w:spacing w:before="280" w:after="80"/>
      </w:pPr>
      <w:r>
        <w:rPr>
          <w:b/>
          <w:color w:val="1F4E79"/>
          <w:sz w:val="36"/>
        </w:rPr>
        <w:t>Financial Highlights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2808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F4E79" w:val="clear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153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F4E79" w:val="clear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20"/>
              </w:rPr>
              <w:t>Q1 Actual</w:t>
            </w:r>
          </w:p>
        </w:tc>
        <w:tc>
          <w:tcPr>
            <w:tcW w:type="dxa" w:w="2153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F4E79" w:val="clear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20"/>
              </w:rPr>
              <w:t>Q2 Actual</w:t>
            </w:r>
          </w:p>
        </w:tc>
        <w:tc>
          <w:tcPr>
            <w:tcW w:type="dxa" w:w="224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F4E79" w:val="clear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20"/>
              </w:rPr>
              <w:t>YoY Growth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7F9FB" w:val="clear"/>
          </w:tcPr>
          <w:p>
            <w:pPr>
              <w:spacing w:before="0" w:after="0" w:line="240" w:lineRule="auto"/>
            </w:pPr>
            <w:r/>
            <w:r>
              <w:rPr>
                <w:sz w:val="19"/>
              </w:rPr>
              <w:t>Revenue</w:t>
            </w:r>
          </w:p>
        </w:tc>
        <w:tc>
          <w:tcPr>
            <w:tcW w:type="dxa" w:w="2153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7F9FB" w:val="clear"/>
          </w:tcPr>
          <w:p>
            <w:pPr>
              <w:spacing w:before="0" w:after="0" w:line="240" w:lineRule="auto"/>
            </w:pPr>
            <w:r/>
            <w:r>
              <w:rPr>
                <w:sz w:val="19"/>
              </w:rPr>
              <w:t>$1.2M</w:t>
            </w:r>
          </w:p>
        </w:tc>
        <w:tc>
          <w:tcPr>
            <w:tcW w:type="dxa" w:w="2153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7F9FB" w:val="clear"/>
          </w:tcPr>
          <w:p>
            <w:pPr>
              <w:spacing w:before="0" w:after="0" w:line="240" w:lineRule="auto"/>
            </w:pPr>
            <w:r/>
            <w:r>
              <w:rPr>
                <w:sz w:val="19"/>
              </w:rPr>
              <w:t>$1.5M</w:t>
            </w:r>
          </w:p>
        </w:tc>
        <w:tc>
          <w:tcPr>
            <w:tcW w:type="dxa" w:w="224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7F9FB" w:val="clear"/>
          </w:tcPr>
          <w:p>
            <w:pPr>
              <w:spacing w:before="0" w:after="0" w:line="240" w:lineRule="auto"/>
            </w:pPr>
            <w:r/>
            <w:r>
              <w:rPr>
                <w:sz w:val="19"/>
              </w:rPr>
              <w:t>+25%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sz w:val="19"/>
              </w:rPr>
              <w:t>Net Margin</w:t>
            </w:r>
          </w:p>
        </w:tc>
        <w:tc>
          <w:tcPr>
            <w:tcW w:type="dxa" w:w="2153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sz w:val="19"/>
              </w:rPr>
              <w:t>22%</w:t>
            </w:r>
          </w:p>
        </w:tc>
        <w:tc>
          <w:tcPr>
            <w:tcW w:type="dxa" w:w="2153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sz w:val="19"/>
              </w:rPr>
              <w:t>27%</w:t>
            </w:r>
          </w:p>
        </w:tc>
        <w:tc>
          <w:tcPr>
            <w:tcW w:type="dxa" w:w="224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sz w:val="19"/>
              </w:rPr>
              <w:t>+500 bps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7F9FB" w:val="clear"/>
          </w:tcPr>
          <w:p>
            <w:pPr>
              <w:spacing w:before="0" w:after="0" w:line="240" w:lineRule="auto"/>
            </w:pPr>
            <w:r/>
            <w:r>
              <w:rPr>
                <w:sz w:val="19"/>
              </w:rPr>
              <w:t>Customer Retention</w:t>
            </w:r>
          </w:p>
        </w:tc>
        <w:tc>
          <w:tcPr>
            <w:tcW w:type="dxa" w:w="2153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7F9FB" w:val="clear"/>
          </w:tcPr>
          <w:p>
            <w:pPr>
              <w:spacing w:before="0" w:after="0" w:line="240" w:lineRule="auto"/>
            </w:pPr>
            <w:r/>
            <w:r>
              <w:rPr>
                <w:sz w:val="19"/>
              </w:rPr>
              <w:t>94.2%</w:t>
            </w:r>
          </w:p>
        </w:tc>
        <w:tc>
          <w:tcPr>
            <w:tcW w:type="dxa" w:w="2153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7F9FB" w:val="clear"/>
          </w:tcPr>
          <w:p>
            <w:pPr>
              <w:spacing w:before="0" w:after="0" w:line="240" w:lineRule="auto"/>
            </w:pPr>
            <w:r/>
            <w:r>
              <w:rPr>
                <w:sz w:val="19"/>
              </w:rPr>
              <w:t>96.1%</w:t>
            </w:r>
          </w:p>
        </w:tc>
        <w:tc>
          <w:tcPr>
            <w:tcW w:type="dxa" w:w="224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7F9FB" w:val="clear"/>
          </w:tcPr>
          <w:p>
            <w:pPr>
              <w:spacing w:before="0" w:after="0" w:line="240" w:lineRule="auto"/>
            </w:pPr>
            <w:r/>
            <w:r>
              <w:rPr>
                <w:sz w:val="19"/>
              </w:rPr>
              <w:t>+1.9%</w:t>
            </w:r>
          </w:p>
        </w:tc>
      </w:tr>
    </w:tbl>
    <w:p>
      <w:pPr>
        <w:spacing w:before="160" w:after="16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1616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30192808568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1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trike w:val="0"/>
          <w:u w:val="none"/>
        </w:rPr>
        <w:t>Key Strategic Priorities:</w:t>
      </w:r>
    </w:p>
    <w:p>
      <w:pPr>
        <w:pStyle w:val="ListBullet"/>
      </w:pPr>
      <w:r>
        <w:rPr>
          <w:b w:val="0"/>
          <w:i w:val="0"/>
          <w:strike w:val="0"/>
          <w:u w:val="none"/>
        </w:rPr>
        <w:t>Expand enterprise sales channel</w:t>
      </w:r>
    </w:p>
    <w:p>
      <w:pPr>
        <w:pStyle w:val="ListBullet"/>
      </w:pPr>
      <w:r>
        <w:rPr>
          <w:b w:val="0"/>
          <w:i w:val="0"/>
          <w:strike w:val="0"/>
          <w:u w:val="none"/>
        </w:rPr>
        <w:t>Optimize cloud compute expenditures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